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895E32" w14:textId="1CEFD218" w:rsidR="00B26043" w:rsidRDefault="00D51198" w:rsidP="00621088">
      <w:pPr>
        <w:pStyle w:val="Title"/>
      </w:pPr>
      <w:permStart w:id="1150121039" w:ed="kim@dallefeld.com"/>
      <w:permEnd w:id="1150121039"/>
      <w:r>
        <w:t>Business Central Intercompany</w:t>
      </w:r>
    </w:p>
    <w:p w14:paraId="3E906D0E" w14:textId="77777777" w:rsidR="00921DA1" w:rsidRDefault="00921DA1" w:rsidP="001735C5">
      <w:pPr>
        <w:pStyle w:val="NoSpacing"/>
      </w:pPr>
    </w:p>
    <w:p w14:paraId="48E37B37" w14:textId="2BC630BF" w:rsidR="001735C5" w:rsidRDefault="001735C5" w:rsidP="001735C5">
      <w:pPr>
        <w:pStyle w:val="NoSpacing"/>
      </w:pPr>
      <w:r>
        <w:t>Author: Kim Dallefeld</w:t>
      </w:r>
    </w:p>
    <w:p w14:paraId="20816F3F" w14:textId="015353F9" w:rsidR="001735C5" w:rsidRDefault="001735C5" w:rsidP="00921DA1">
      <w:r>
        <w:t>Contributor: Steve Chinsky</w:t>
      </w:r>
    </w:p>
    <w:p w14:paraId="37EB88F8" w14:textId="77777777" w:rsidR="001735C5" w:rsidRDefault="001735C5" w:rsidP="00921DA1"/>
    <w:p w14:paraId="515B242B" w14:textId="77777777" w:rsidR="00921DA1" w:rsidRPr="00D33FE5" w:rsidRDefault="00921DA1" w:rsidP="00921DA1">
      <w:pPr>
        <w:rPr>
          <w:rStyle w:val="Strong"/>
          <w:color w:val="156082" w:themeColor="accent1"/>
        </w:rPr>
      </w:pPr>
      <w:r w:rsidRPr="00D33FE5">
        <w:rPr>
          <w:rStyle w:val="Strong"/>
          <w:color w:val="156082" w:themeColor="accent1"/>
        </w:rPr>
        <w:t xml:space="preserve">Do you have or manage multiple companies? </w:t>
      </w:r>
    </w:p>
    <w:p w14:paraId="308757E5" w14:textId="1EF4376B" w:rsidR="00921DA1" w:rsidRPr="00D33FE5" w:rsidRDefault="00921DA1" w:rsidP="00921DA1">
      <w:pPr>
        <w:rPr>
          <w:rStyle w:val="Strong"/>
          <w:color w:val="156082" w:themeColor="accent1"/>
        </w:rPr>
      </w:pPr>
      <w:r w:rsidRPr="00D33FE5">
        <w:rPr>
          <w:rStyle w:val="Strong"/>
          <w:color w:val="156082" w:themeColor="accent1"/>
        </w:rPr>
        <w:t xml:space="preserve">Do you buy and sell between </w:t>
      </w:r>
      <w:r w:rsidR="009F4F06">
        <w:rPr>
          <w:rStyle w:val="Strong"/>
          <w:color w:val="156082" w:themeColor="accent1"/>
        </w:rPr>
        <w:t>each</w:t>
      </w:r>
      <w:r w:rsidRPr="00D33FE5">
        <w:rPr>
          <w:rStyle w:val="Strong"/>
          <w:color w:val="156082" w:themeColor="accent1"/>
        </w:rPr>
        <w:t xml:space="preserve"> compan</w:t>
      </w:r>
      <w:r w:rsidR="009F4F06">
        <w:rPr>
          <w:rStyle w:val="Strong"/>
          <w:color w:val="156082" w:themeColor="accent1"/>
        </w:rPr>
        <w:t>y</w:t>
      </w:r>
      <w:r w:rsidRPr="00D33FE5">
        <w:rPr>
          <w:rStyle w:val="Strong"/>
          <w:color w:val="156082" w:themeColor="accent1"/>
        </w:rPr>
        <w:t>?</w:t>
      </w:r>
    </w:p>
    <w:p w14:paraId="5343B09A" w14:textId="4708B23A" w:rsidR="00921DA1" w:rsidRPr="00D33FE5" w:rsidRDefault="00921DA1" w:rsidP="00921DA1">
      <w:pPr>
        <w:rPr>
          <w:rStyle w:val="Strong"/>
          <w:color w:val="156082" w:themeColor="accent1"/>
        </w:rPr>
      </w:pPr>
      <w:r w:rsidRPr="00D33FE5">
        <w:rPr>
          <w:rStyle w:val="Strong"/>
          <w:color w:val="156082" w:themeColor="accent1"/>
        </w:rPr>
        <w:t>Do you have one company that pays most or all</w:t>
      </w:r>
      <w:r w:rsidR="009F4F06">
        <w:rPr>
          <w:rStyle w:val="Strong"/>
          <w:color w:val="156082" w:themeColor="accent1"/>
        </w:rPr>
        <w:t>,</w:t>
      </w:r>
      <w:r w:rsidRPr="00D33FE5">
        <w:rPr>
          <w:rStyle w:val="Strong"/>
          <w:color w:val="156082" w:themeColor="accent1"/>
        </w:rPr>
        <w:t xml:space="preserve"> of your vendors for </w:t>
      </w:r>
      <w:r w:rsidR="009F4F06">
        <w:rPr>
          <w:rStyle w:val="Strong"/>
          <w:color w:val="156082" w:themeColor="accent1"/>
        </w:rPr>
        <w:t>each</w:t>
      </w:r>
      <w:r w:rsidRPr="00D33FE5">
        <w:rPr>
          <w:rStyle w:val="Strong"/>
          <w:color w:val="156082" w:themeColor="accent1"/>
        </w:rPr>
        <w:t xml:space="preserve"> compan</w:t>
      </w:r>
      <w:r w:rsidR="009F4F06">
        <w:rPr>
          <w:rStyle w:val="Strong"/>
          <w:color w:val="156082" w:themeColor="accent1"/>
        </w:rPr>
        <w:t>y</w:t>
      </w:r>
      <w:r w:rsidRPr="00D33FE5">
        <w:rPr>
          <w:rStyle w:val="Strong"/>
          <w:color w:val="156082" w:themeColor="accent1"/>
        </w:rPr>
        <w:t>?</w:t>
      </w:r>
    </w:p>
    <w:p w14:paraId="748CA46C" w14:textId="33AA252D" w:rsidR="00921DA1" w:rsidRPr="00D33FE5" w:rsidRDefault="00921DA1" w:rsidP="00921DA1">
      <w:pPr>
        <w:rPr>
          <w:rStyle w:val="Strong"/>
          <w:color w:val="156082" w:themeColor="accent1"/>
        </w:rPr>
      </w:pPr>
      <w:r w:rsidRPr="00D33FE5">
        <w:rPr>
          <w:rStyle w:val="Strong"/>
          <w:color w:val="156082" w:themeColor="accent1"/>
        </w:rPr>
        <w:t>If you answered yes to any one of the above question</w:t>
      </w:r>
      <w:r w:rsidR="009F4F06">
        <w:rPr>
          <w:rStyle w:val="Strong"/>
          <w:color w:val="156082" w:themeColor="accent1"/>
        </w:rPr>
        <w:t>s</w:t>
      </w:r>
      <w:r w:rsidRPr="00D33FE5">
        <w:rPr>
          <w:rStyle w:val="Strong"/>
          <w:color w:val="156082" w:themeColor="accent1"/>
        </w:rPr>
        <w:t>, you need to use Business Central Intercompany features.</w:t>
      </w:r>
    </w:p>
    <w:p w14:paraId="383B2DDC" w14:textId="77777777" w:rsidR="00921DA1" w:rsidRPr="00921DA1" w:rsidRDefault="00921DA1" w:rsidP="00921DA1"/>
    <w:sdt>
      <w:sdtPr>
        <w:rPr>
          <w:rFonts w:asciiTheme="minorHAnsi" w:eastAsiaTheme="minorHAnsi" w:hAnsiTheme="minorHAnsi" w:cstheme="minorBidi"/>
          <w:color w:val="auto"/>
          <w:kern w:val="2"/>
          <w:sz w:val="22"/>
          <w:szCs w:val="22"/>
          <w14:ligatures w14:val="standardContextual"/>
        </w:rPr>
        <w:id w:val="737217071"/>
        <w:docPartObj>
          <w:docPartGallery w:val="Table of Contents"/>
          <w:docPartUnique/>
        </w:docPartObj>
      </w:sdtPr>
      <w:sdtEndPr>
        <w:rPr>
          <w:b/>
          <w:bCs/>
          <w:noProof/>
        </w:rPr>
      </w:sdtEndPr>
      <w:sdtContent>
        <w:p w14:paraId="66AE591F" w14:textId="3C54A2DD" w:rsidR="00134511" w:rsidRDefault="00134511">
          <w:pPr>
            <w:pStyle w:val="TOCHeading"/>
          </w:pPr>
          <w:r>
            <w:t>Contents</w:t>
          </w:r>
        </w:p>
        <w:p w14:paraId="4F41AFA0" w14:textId="30BE2F4D" w:rsidR="006F6209" w:rsidRDefault="00134511">
          <w:pPr>
            <w:pStyle w:val="TOC2"/>
            <w:tabs>
              <w:tab w:val="right" w:leader="dot" w:pos="9350"/>
            </w:tabs>
            <w:rPr>
              <w:rFonts w:eastAsiaTheme="minorEastAsia"/>
              <w:noProof/>
              <w:sz w:val="24"/>
              <w:szCs w:val="24"/>
            </w:rPr>
          </w:pPr>
          <w:r>
            <w:fldChar w:fldCharType="begin"/>
          </w:r>
          <w:r>
            <w:instrText xml:space="preserve"> TOC \o "1-3" \h \z \u </w:instrText>
          </w:r>
          <w:r>
            <w:fldChar w:fldCharType="separate"/>
          </w:r>
          <w:hyperlink w:anchor="_Toc190097265" w:history="1">
            <w:r w:rsidR="006F6209" w:rsidRPr="008C2C5D">
              <w:rPr>
                <w:rStyle w:val="Hyperlink"/>
                <w:noProof/>
              </w:rPr>
              <w:t>Overview</w:t>
            </w:r>
            <w:r w:rsidR="006F6209">
              <w:rPr>
                <w:noProof/>
                <w:webHidden/>
              </w:rPr>
              <w:tab/>
            </w:r>
            <w:r w:rsidR="006F6209">
              <w:rPr>
                <w:noProof/>
                <w:webHidden/>
              </w:rPr>
              <w:fldChar w:fldCharType="begin"/>
            </w:r>
            <w:r w:rsidR="006F6209">
              <w:rPr>
                <w:noProof/>
                <w:webHidden/>
              </w:rPr>
              <w:instrText xml:space="preserve"> PAGEREF _Toc190097265 \h </w:instrText>
            </w:r>
            <w:r w:rsidR="006F6209">
              <w:rPr>
                <w:noProof/>
                <w:webHidden/>
              </w:rPr>
            </w:r>
            <w:r w:rsidR="006F6209">
              <w:rPr>
                <w:noProof/>
                <w:webHidden/>
              </w:rPr>
              <w:fldChar w:fldCharType="separate"/>
            </w:r>
            <w:r w:rsidR="006F6209">
              <w:rPr>
                <w:noProof/>
                <w:webHidden/>
              </w:rPr>
              <w:t>1</w:t>
            </w:r>
            <w:r w:rsidR="006F6209">
              <w:rPr>
                <w:noProof/>
                <w:webHidden/>
              </w:rPr>
              <w:fldChar w:fldCharType="end"/>
            </w:r>
          </w:hyperlink>
        </w:p>
        <w:p w14:paraId="25FB7414" w14:textId="679BBB2A" w:rsidR="006F6209" w:rsidRDefault="006F6209">
          <w:pPr>
            <w:pStyle w:val="TOC2"/>
            <w:tabs>
              <w:tab w:val="right" w:leader="dot" w:pos="9350"/>
            </w:tabs>
            <w:rPr>
              <w:rFonts w:eastAsiaTheme="minorEastAsia"/>
              <w:noProof/>
              <w:sz w:val="24"/>
              <w:szCs w:val="24"/>
            </w:rPr>
          </w:pPr>
          <w:hyperlink w:anchor="_Toc190097266" w:history="1">
            <w:r w:rsidRPr="008C2C5D">
              <w:rPr>
                <w:rStyle w:val="Hyperlink"/>
                <w:noProof/>
              </w:rPr>
              <w:t>Setups</w:t>
            </w:r>
            <w:r>
              <w:rPr>
                <w:noProof/>
                <w:webHidden/>
              </w:rPr>
              <w:tab/>
            </w:r>
            <w:r>
              <w:rPr>
                <w:noProof/>
                <w:webHidden/>
              </w:rPr>
              <w:fldChar w:fldCharType="begin"/>
            </w:r>
            <w:r>
              <w:rPr>
                <w:noProof/>
                <w:webHidden/>
              </w:rPr>
              <w:instrText xml:space="preserve"> PAGEREF _Toc190097266 \h </w:instrText>
            </w:r>
            <w:r>
              <w:rPr>
                <w:noProof/>
                <w:webHidden/>
              </w:rPr>
            </w:r>
            <w:r>
              <w:rPr>
                <w:noProof/>
                <w:webHidden/>
              </w:rPr>
              <w:fldChar w:fldCharType="separate"/>
            </w:r>
            <w:r>
              <w:rPr>
                <w:noProof/>
                <w:webHidden/>
              </w:rPr>
              <w:t>2</w:t>
            </w:r>
            <w:r>
              <w:rPr>
                <w:noProof/>
                <w:webHidden/>
              </w:rPr>
              <w:fldChar w:fldCharType="end"/>
            </w:r>
          </w:hyperlink>
        </w:p>
        <w:p w14:paraId="3AA0ECC5" w14:textId="78A5E562" w:rsidR="006F6209" w:rsidRDefault="006F6209">
          <w:pPr>
            <w:pStyle w:val="TOC3"/>
            <w:tabs>
              <w:tab w:val="right" w:leader="dot" w:pos="9350"/>
            </w:tabs>
            <w:rPr>
              <w:rFonts w:eastAsiaTheme="minorEastAsia"/>
              <w:noProof/>
              <w:sz w:val="24"/>
              <w:szCs w:val="24"/>
            </w:rPr>
          </w:pPr>
          <w:hyperlink w:anchor="_Toc190097267" w:history="1">
            <w:r w:rsidRPr="008C2C5D">
              <w:rPr>
                <w:rStyle w:val="Hyperlink"/>
                <w:noProof/>
              </w:rPr>
              <w:t>Intercompany Partners</w:t>
            </w:r>
            <w:r>
              <w:rPr>
                <w:noProof/>
                <w:webHidden/>
              </w:rPr>
              <w:tab/>
            </w:r>
            <w:r>
              <w:rPr>
                <w:noProof/>
                <w:webHidden/>
              </w:rPr>
              <w:fldChar w:fldCharType="begin"/>
            </w:r>
            <w:r>
              <w:rPr>
                <w:noProof/>
                <w:webHidden/>
              </w:rPr>
              <w:instrText xml:space="preserve"> PAGEREF _Toc190097267 \h </w:instrText>
            </w:r>
            <w:r>
              <w:rPr>
                <w:noProof/>
                <w:webHidden/>
              </w:rPr>
            </w:r>
            <w:r>
              <w:rPr>
                <w:noProof/>
                <w:webHidden/>
              </w:rPr>
              <w:fldChar w:fldCharType="separate"/>
            </w:r>
            <w:r>
              <w:rPr>
                <w:noProof/>
                <w:webHidden/>
              </w:rPr>
              <w:t>3</w:t>
            </w:r>
            <w:r>
              <w:rPr>
                <w:noProof/>
                <w:webHidden/>
              </w:rPr>
              <w:fldChar w:fldCharType="end"/>
            </w:r>
          </w:hyperlink>
        </w:p>
        <w:p w14:paraId="4AA822AC" w14:textId="63F702EF" w:rsidR="006F6209" w:rsidRDefault="006F6209">
          <w:pPr>
            <w:pStyle w:val="TOC3"/>
            <w:tabs>
              <w:tab w:val="right" w:leader="dot" w:pos="9350"/>
            </w:tabs>
            <w:rPr>
              <w:rFonts w:eastAsiaTheme="minorEastAsia"/>
              <w:noProof/>
              <w:sz w:val="24"/>
              <w:szCs w:val="24"/>
            </w:rPr>
          </w:pPr>
          <w:hyperlink w:anchor="_Toc190097268" w:history="1">
            <w:r w:rsidRPr="008C2C5D">
              <w:rPr>
                <w:rStyle w:val="Hyperlink"/>
                <w:noProof/>
              </w:rPr>
              <w:t>Cross-Environment Intercompany Partners</w:t>
            </w:r>
            <w:r>
              <w:rPr>
                <w:noProof/>
                <w:webHidden/>
              </w:rPr>
              <w:tab/>
            </w:r>
            <w:r>
              <w:rPr>
                <w:noProof/>
                <w:webHidden/>
              </w:rPr>
              <w:fldChar w:fldCharType="begin"/>
            </w:r>
            <w:r>
              <w:rPr>
                <w:noProof/>
                <w:webHidden/>
              </w:rPr>
              <w:instrText xml:space="preserve"> PAGEREF _Toc190097268 \h </w:instrText>
            </w:r>
            <w:r>
              <w:rPr>
                <w:noProof/>
                <w:webHidden/>
              </w:rPr>
            </w:r>
            <w:r>
              <w:rPr>
                <w:noProof/>
                <w:webHidden/>
              </w:rPr>
              <w:fldChar w:fldCharType="separate"/>
            </w:r>
            <w:r>
              <w:rPr>
                <w:noProof/>
                <w:webHidden/>
              </w:rPr>
              <w:t>5</w:t>
            </w:r>
            <w:r>
              <w:rPr>
                <w:noProof/>
                <w:webHidden/>
              </w:rPr>
              <w:fldChar w:fldCharType="end"/>
            </w:r>
          </w:hyperlink>
        </w:p>
        <w:p w14:paraId="2F4709E9" w14:textId="62EAAAF2" w:rsidR="006F6209" w:rsidRDefault="006F6209">
          <w:pPr>
            <w:pStyle w:val="TOC3"/>
            <w:tabs>
              <w:tab w:val="right" w:leader="dot" w:pos="9350"/>
            </w:tabs>
            <w:rPr>
              <w:rFonts w:eastAsiaTheme="minorEastAsia"/>
              <w:noProof/>
              <w:sz w:val="24"/>
              <w:szCs w:val="24"/>
            </w:rPr>
          </w:pPr>
          <w:hyperlink w:anchor="_Toc190097269" w:history="1">
            <w:r w:rsidRPr="008C2C5D">
              <w:rPr>
                <w:rStyle w:val="Hyperlink"/>
                <w:noProof/>
              </w:rPr>
              <w:t>Transfer Types</w:t>
            </w:r>
            <w:r>
              <w:rPr>
                <w:noProof/>
                <w:webHidden/>
              </w:rPr>
              <w:tab/>
            </w:r>
            <w:r>
              <w:rPr>
                <w:noProof/>
                <w:webHidden/>
              </w:rPr>
              <w:fldChar w:fldCharType="begin"/>
            </w:r>
            <w:r>
              <w:rPr>
                <w:noProof/>
                <w:webHidden/>
              </w:rPr>
              <w:instrText xml:space="preserve"> PAGEREF _Toc190097269 \h </w:instrText>
            </w:r>
            <w:r>
              <w:rPr>
                <w:noProof/>
                <w:webHidden/>
              </w:rPr>
            </w:r>
            <w:r>
              <w:rPr>
                <w:noProof/>
                <w:webHidden/>
              </w:rPr>
              <w:fldChar w:fldCharType="separate"/>
            </w:r>
            <w:r>
              <w:rPr>
                <w:noProof/>
                <w:webHidden/>
              </w:rPr>
              <w:t>6</w:t>
            </w:r>
            <w:r>
              <w:rPr>
                <w:noProof/>
                <w:webHidden/>
              </w:rPr>
              <w:fldChar w:fldCharType="end"/>
            </w:r>
          </w:hyperlink>
        </w:p>
        <w:p w14:paraId="5353F8EC" w14:textId="41647857" w:rsidR="006F6209" w:rsidRDefault="006F6209">
          <w:pPr>
            <w:pStyle w:val="TOC2"/>
            <w:tabs>
              <w:tab w:val="right" w:leader="dot" w:pos="9350"/>
            </w:tabs>
            <w:rPr>
              <w:rFonts w:eastAsiaTheme="minorEastAsia"/>
              <w:noProof/>
              <w:sz w:val="24"/>
              <w:szCs w:val="24"/>
            </w:rPr>
          </w:pPr>
          <w:hyperlink w:anchor="_Toc190097270" w:history="1">
            <w:r w:rsidRPr="008C2C5D">
              <w:rPr>
                <w:rStyle w:val="Hyperlink"/>
                <w:noProof/>
              </w:rPr>
              <w:t>Intercompany Transactions</w:t>
            </w:r>
            <w:r>
              <w:rPr>
                <w:noProof/>
                <w:webHidden/>
              </w:rPr>
              <w:tab/>
            </w:r>
            <w:r>
              <w:rPr>
                <w:noProof/>
                <w:webHidden/>
              </w:rPr>
              <w:fldChar w:fldCharType="begin"/>
            </w:r>
            <w:r>
              <w:rPr>
                <w:noProof/>
                <w:webHidden/>
              </w:rPr>
              <w:instrText xml:space="preserve"> PAGEREF _Toc190097270 \h </w:instrText>
            </w:r>
            <w:r>
              <w:rPr>
                <w:noProof/>
                <w:webHidden/>
              </w:rPr>
            </w:r>
            <w:r>
              <w:rPr>
                <w:noProof/>
                <w:webHidden/>
              </w:rPr>
              <w:fldChar w:fldCharType="separate"/>
            </w:r>
            <w:r>
              <w:rPr>
                <w:noProof/>
                <w:webHidden/>
              </w:rPr>
              <w:t>9</w:t>
            </w:r>
            <w:r>
              <w:rPr>
                <w:noProof/>
                <w:webHidden/>
              </w:rPr>
              <w:fldChar w:fldCharType="end"/>
            </w:r>
          </w:hyperlink>
        </w:p>
        <w:p w14:paraId="5781684C" w14:textId="40C0B5F4" w:rsidR="006F6209" w:rsidRDefault="006F6209">
          <w:pPr>
            <w:pStyle w:val="TOC3"/>
            <w:tabs>
              <w:tab w:val="right" w:leader="dot" w:pos="9350"/>
            </w:tabs>
            <w:rPr>
              <w:rFonts w:eastAsiaTheme="minorEastAsia"/>
              <w:noProof/>
              <w:sz w:val="24"/>
              <w:szCs w:val="24"/>
            </w:rPr>
          </w:pPr>
          <w:hyperlink w:anchor="_Toc190097271" w:history="1">
            <w:r w:rsidRPr="008C2C5D">
              <w:rPr>
                <w:rStyle w:val="Hyperlink"/>
                <w:noProof/>
              </w:rPr>
              <w:t>Sales and Purchases</w:t>
            </w:r>
            <w:r>
              <w:rPr>
                <w:noProof/>
                <w:webHidden/>
              </w:rPr>
              <w:tab/>
            </w:r>
            <w:r>
              <w:rPr>
                <w:noProof/>
                <w:webHidden/>
              </w:rPr>
              <w:fldChar w:fldCharType="begin"/>
            </w:r>
            <w:r>
              <w:rPr>
                <w:noProof/>
                <w:webHidden/>
              </w:rPr>
              <w:instrText xml:space="preserve"> PAGEREF _Toc190097271 \h </w:instrText>
            </w:r>
            <w:r>
              <w:rPr>
                <w:noProof/>
                <w:webHidden/>
              </w:rPr>
            </w:r>
            <w:r>
              <w:rPr>
                <w:noProof/>
                <w:webHidden/>
              </w:rPr>
              <w:fldChar w:fldCharType="separate"/>
            </w:r>
            <w:r>
              <w:rPr>
                <w:noProof/>
                <w:webHidden/>
              </w:rPr>
              <w:t>10</w:t>
            </w:r>
            <w:r>
              <w:rPr>
                <w:noProof/>
                <w:webHidden/>
              </w:rPr>
              <w:fldChar w:fldCharType="end"/>
            </w:r>
          </w:hyperlink>
        </w:p>
        <w:p w14:paraId="1A8B2166" w14:textId="4B722F35" w:rsidR="006F6209" w:rsidRDefault="006F6209">
          <w:pPr>
            <w:pStyle w:val="TOC3"/>
            <w:tabs>
              <w:tab w:val="right" w:leader="dot" w:pos="9350"/>
            </w:tabs>
            <w:rPr>
              <w:rFonts w:eastAsiaTheme="minorEastAsia"/>
              <w:noProof/>
              <w:sz w:val="24"/>
              <w:szCs w:val="24"/>
            </w:rPr>
          </w:pPr>
          <w:hyperlink w:anchor="_Toc190097272" w:history="1">
            <w:r w:rsidRPr="008C2C5D">
              <w:rPr>
                <w:rStyle w:val="Hyperlink"/>
                <w:noProof/>
              </w:rPr>
              <w:t>Intercompany General Journals</w:t>
            </w:r>
            <w:r>
              <w:rPr>
                <w:noProof/>
                <w:webHidden/>
              </w:rPr>
              <w:tab/>
            </w:r>
            <w:r>
              <w:rPr>
                <w:noProof/>
                <w:webHidden/>
              </w:rPr>
              <w:fldChar w:fldCharType="begin"/>
            </w:r>
            <w:r>
              <w:rPr>
                <w:noProof/>
                <w:webHidden/>
              </w:rPr>
              <w:instrText xml:space="preserve"> PAGEREF _Toc190097272 \h </w:instrText>
            </w:r>
            <w:r>
              <w:rPr>
                <w:noProof/>
                <w:webHidden/>
              </w:rPr>
            </w:r>
            <w:r>
              <w:rPr>
                <w:noProof/>
                <w:webHidden/>
              </w:rPr>
              <w:fldChar w:fldCharType="separate"/>
            </w:r>
            <w:r>
              <w:rPr>
                <w:noProof/>
                <w:webHidden/>
              </w:rPr>
              <w:t>14</w:t>
            </w:r>
            <w:r>
              <w:rPr>
                <w:noProof/>
                <w:webHidden/>
              </w:rPr>
              <w:fldChar w:fldCharType="end"/>
            </w:r>
          </w:hyperlink>
        </w:p>
        <w:p w14:paraId="668D0E35" w14:textId="72D85B6C" w:rsidR="006F6209" w:rsidRDefault="006F6209">
          <w:pPr>
            <w:pStyle w:val="TOC3"/>
            <w:tabs>
              <w:tab w:val="right" w:leader="dot" w:pos="9350"/>
            </w:tabs>
            <w:rPr>
              <w:rFonts w:eastAsiaTheme="minorEastAsia"/>
              <w:noProof/>
              <w:sz w:val="24"/>
              <w:szCs w:val="24"/>
            </w:rPr>
          </w:pPr>
          <w:hyperlink w:anchor="_Toc190097273" w:history="1">
            <w:r w:rsidRPr="008C2C5D">
              <w:rPr>
                <w:rStyle w:val="Hyperlink"/>
                <w:noProof/>
              </w:rPr>
              <w:t>Receiving Company</w:t>
            </w:r>
            <w:r>
              <w:rPr>
                <w:noProof/>
                <w:webHidden/>
              </w:rPr>
              <w:tab/>
            </w:r>
            <w:r>
              <w:rPr>
                <w:noProof/>
                <w:webHidden/>
              </w:rPr>
              <w:fldChar w:fldCharType="begin"/>
            </w:r>
            <w:r>
              <w:rPr>
                <w:noProof/>
                <w:webHidden/>
              </w:rPr>
              <w:instrText xml:space="preserve"> PAGEREF _Toc190097273 \h </w:instrText>
            </w:r>
            <w:r>
              <w:rPr>
                <w:noProof/>
                <w:webHidden/>
              </w:rPr>
            </w:r>
            <w:r>
              <w:rPr>
                <w:noProof/>
                <w:webHidden/>
              </w:rPr>
              <w:fldChar w:fldCharType="separate"/>
            </w:r>
            <w:r>
              <w:rPr>
                <w:noProof/>
                <w:webHidden/>
              </w:rPr>
              <w:t>15</w:t>
            </w:r>
            <w:r>
              <w:rPr>
                <w:noProof/>
                <w:webHidden/>
              </w:rPr>
              <w:fldChar w:fldCharType="end"/>
            </w:r>
          </w:hyperlink>
        </w:p>
        <w:p w14:paraId="2105676C" w14:textId="2160FB7A" w:rsidR="002F6AAA" w:rsidRDefault="00134511" w:rsidP="009F4F06">
          <w:r>
            <w:rPr>
              <w:b/>
              <w:bCs/>
              <w:noProof/>
            </w:rPr>
            <w:fldChar w:fldCharType="end"/>
          </w:r>
        </w:p>
      </w:sdtContent>
    </w:sdt>
    <w:p w14:paraId="53A72998" w14:textId="78C7B8B1" w:rsidR="00D51198" w:rsidRDefault="00D51198" w:rsidP="00D51198">
      <w:pPr>
        <w:pStyle w:val="Heading2"/>
      </w:pPr>
      <w:bookmarkStart w:id="0" w:name="_Toc190097265"/>
      <w:r>
        <w:t>Overview</w:t>
      </w:r>
      <w:bookmarkEnd w:id="0"/>
    </w:p>
    <w:p w14:paraId="0771C367" w14:textId="64EDFC72" w:rsidR="00D51198" w:rsidRPr="00D51198" w:rsidRDefault="00D51198" w:rsidP="00D51198">
      <w:r>
        <w:t xml:space="preserve">The </w:t>
      </w:r>
      <w:r w:rsidRPr="00D51198">
        <w:t>record</w:t>
      </w:r>
      <w:r>
        <w:t xml:space="preserve">ing of </w:t>
      </w:r>
      <w:r w:rsidRPr="00D51198">
        <w:t>transactions like sales, purchases, and journals</w:t>
      </w:r>
      <w:r>
        <w:t xml:space="preserve"> without using intercompany</w:t>
      </w:r>
      <w:r w:rsidRPr="00D51198">
        <w:t xml:space="preserve">, </w:t>
      </w:r>
      <w:r>
        <w:t xml:space="preserve">means you are working way too hard because </w:t>
      </w:r>
      <w:r w:rsidRPr="00D51198">
        <w:t xml:space="preserve">you </w:t>
      </w:r>
      <w:r>
        <w:t>are</w:t>
      </w:r>
      <w:r w:rsidRPr="00D51198">
        <w:t xml:space="preserve"> posting each transaction twice. </w:t>
      </w:r>
      <w:r>
        <w:t xml:space="preserve">Once in each company. </w:t>
      </w:r>
      <w:r w:rsidRPr="00D51198">
        <w:t xml:space="preserve">Intercompany transactions in Business Central allow you to transact sales and purchasing documents and general journal entries </w:t>
      </w:r>
      <w:r>
        <w:t>between</w:t>
      </w:r>
      <w:r w:rsidRPr="00D51198">
        <w:t xml:space="preserve"> companies.</w:t>
      </w:r>
    </w:p>
    <w:p w14:paraId="3261FB18" w14:textId="0488BF6D" w:rsidR="00D51198" w:rsidRPr="00D51198" w:rsidRDefault="00D51198" w:rsidP="00D51198">
      <w:r w:rsidRPr="00D51198">
        <w:t xml:space="preserve">Whether your organization operates with multiple branches in different currencies or multiple </w:t>
      </w:r>
      <w:r>
        <w:t>legal entities</w:t>
      </w:r>
      <w:r w:rsidRPr="00D51198">
        <w:t xml:space="preserve"> in the same country</w:t>
      </w:r>
      <w:r>
        <w:t>.</w:t>
      </w:r>
      <w:r w:rsidRPr="00D51198">
        <w:t xml:space="preserve"> Business Central Intercompany Transactions allows you to exchange services and goods between companies while eliminating the need to duplicate transactions. </w:t>
      </w:r>
    </w:p>
    <w:p w14:paraId="73EA95CB" w14:textId="04D945A1" w:rsidR="00D51198" w:rsidRPr="00D51198" w:rsidRDefault="00D51198" w:rsidP="00D51198">
      <w:r>
        <w:t>For example, t</w:t>
      </w:r>
      <w:r w:rsidRPr="00D51198">
        <w:t xml:space="preserve">he sales invoice </w:t>
      </w:r>
      <w:r w:rsidR="00400F24">
        <w:t xml:space="preserve">is created </w:t>
      </w:r>
      <w:r w:rsidRPr="00D51198">
        <w:t>in company A (the Sending Company) and this – via various elements of set up – will create the equivalent purchase invoice in company B (the Receiving Company).</w:t>
      </w:r>
    </w:p>
    <w:p w14:paraId="098170EE" w14:textId="259A5F6D" w:rsidR="00D51198" w:rsidRDefault="00D51198" w:rsidP="00D51198">
      <w:r w:rsidRPr="00D51198">
        <w:lastRenderedPageBreak/>
        <w:t xml:space="preserve">The guiding principle to be followed throughout is that for every element in company A, an equivalent element needs to exist in company B. </w:t>
      </w:r>
      <w:r w:rsidR="00B9319B">
        <w:t>T</w:t>
      </w:r>
      <w:r w:rsidRPr="00D51198">
        <w:t xml:space="preserve">hink of it like a plug and a socket. A three-pin plug will successfully connect to a three-pin socket but if you have two pin socket </w:t>
      </w:r>
      <w:r w:rsidR="00B9319B">
        <w:t>it</w:t>
      </w:r>
      <w:r w:rsidRPr="00D51198">
        <w:t xml:space="preserve"> will fail.</w:t>
      </w:r>
    </w:p>
    <w:p w14:paraId="57722142" w14:textId="422329E6" w:rsidR="00D51198" w:rsidRPr="00D51198" w:rsidRDefault="00D51198" w:rsidP="00D51198">
      <w:r w:rsidRPr="00D51198">
        <w:rPr>
          <w:noProof/>
        </w:rPr>
        <w:drawing>
          <wp:inline distT="0" distB="0" distL="0" distR="0" wp14:anchorId="5A0B2EC0" wp14:editId="6D7B06F7">
            <wp:extent cx="5943600" cy="2579370"/>
            <wp:effectExtent l="0" t="0" r="0" b="0"/>
            <wp:docPr id="5" name="Picture Placeholder 4" descr="A diagram of a sales company&#10;&#10;Description automatically generated">
              <a:extLst xmlns:a="http://schemas.openxmlformats.org/drawingml/2006/main">
                <a:ext uri="{FF2B5EF4-FFF2-40B4-BE49-F238E27FC236}">
                  <a16:creationId xmlns:a16="http://schemas.microsoft.com/office/drawing/2014/main" id="{4557EEEC-128B-D52A-4A12-F23E75E6F0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Placeholder 4" descr="A diagram of a sales company&#10;&#10;Description automatically generated">
                      <a:extLst>
                        <a:ext uri="{FF2B5EF4-FFF2-40B4-BE49-F238E27FC236}">
                          <a16:creationId xmlns:a16="http://schemas.microsoft.com/office/drawing/2014/main" id="{4557EEEC-128B-D52A-4A12-F23E75E6F0D3}"/>
                        </a:ext>
                      </a:extLst>
                    </pic:cNvPr>
                    <pic:cNvPicPr>
                      <a:picLocks noChangeAspect="1"/>
                    </pic:cNvPicPr>
                  </pic:nvPicPr>
                  <pic:blipFill>
                    <a:blip r:embed="rId6"/>
                    <a:stretch/>
                  </pic:blipFill>
                  <pic:spPr>
                    <a:xfrm>
                      <a:off x="0" y="0"/>
                      <a:ext cx="5943600" cy="2579370"/>
                    </a:xfrm>
                    <a:prstGeom prst="round2SameRect">
                      <a:avLst>
                        <a:gd name="adj1" fmla="val 4086"/>
                        <a:gd name="adj2" fmla="val 0"/>
                      </a:avLst>
                    </a:prstGeom>
                  </pic:spPr>
                </pic:pic>
              </a:graphicData>
            </a:graphic>
          </wp:inline>
        </w:drawing>
      </w:r>
    </w:p>
    <w:p w14:paraId="4FCBCBC4" w14:textId="7FFA3ADB" w:rsidR="00D51198" w:rsidRDefault="00400F24" w:rsidP="00400F24">
      <w:pPr>
        <w:pStyle w:val="Heading2"/>
      </w:pPr>
      <w:bookmarkStart w:id="1" w:name="_Toc190097266"/>
      <w:r>
        <w:t>Setups</w:t>
      </w:r>
      <w:bookmarkEnd w:id="1"/>
    </w:p>
    <w:p w14:paraId="36C24C73" w14:textId="7D6917F4" w:rsidR="00921DA1" w:rsidRDefault="00072D36" w:rsidP="00921DA1">
      <w:r>
        <w:t>Each company needs to be identified by an Intercompany Partner Code</w:t>
      </w:r>
      <w:r w:rsidR="006D3D1A">
        <w:t>. This will provide controls for the company</w:t>
      </w:r>
      <w:r w:rsidR="00614544">
        <w:t>. In Addition, the companies that will exchange information will be connected under Intercompany Partners.</w:t>
      </w:r>
    </w:p>
    <w:p w14:paraId="7A79D412" w14:textId="5BF5E6F9" w:rsidR="00072D36" w:rsidRDefault="006D3D1A" w:rsidP="00921DA1">
      <w:r w:rsidRPr="00400F24">
        <w:rPr>
          <w:noProof/>
        </w:rPr>
        <w:drawing>
          <wp:inline distT="0" distB="0" distL="0" distR="0" wp14:anchorId="03AAD5F9" wp14:editId="0697B472">
            <wp:extent cx="5629275" cy="3437707"/>
            <wp:effectExtent l="0" t="0" r="0" b="0"/>
            <wp:docPr id="2" name="Picture 1" descr="Intercompany Setup">
              <a:extLst xmlns:a="http://schemas.openxmlformats.org/drawingml/2006/main">
                <a:ext uri="{FF2B5EF4-FFF2-40B4-BE49-F238E27FC236}">
                  <a16:creationId xmlns:a16="http://schemas.microsoft.com/office/drawing/2014/main" id="{5AA5E95B-817A-CF5F-8C9D-8BD11E9C54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tercompany Setup">
                      <a:extLst>
                        <a:ext uri="{FF2B5EF4-FFF2-40B4-BE49-F238E27FC236}">
                          <a16:creationId xmlns:a16="http://schemas.microsoft.com/office/drawing/2014/main" id="{5AA5E95B-817A-CF5F-8C9D-8BD11E9C5406}"/>
                        </a:ext>
                      </a:extLst>
                    </pic:cNvPr>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34205" cy="3440717"/>
                    </a:xfrm>
                    <a:prstGeom prst="rect">
                      <a:avLst/>
                    </a:prstGeom>
                    <a:noFill/>
                    <a:ln>
                      <a:noFill/>
                    </a:ln>
                  </pic:spPr>
                </pic:pic>
              </a:graphicData>
            </a:graphic>
          </wp:inline>
        </w:drawing>
      </w:r>
    </w:p>
    <w:p w14:paraId="107EF14B" w14:textId="209C3FC7" w:rsidR="002F6AAA" w:rsidRPr="00400F24" w:rsidRDefault="002F6AAA" w:rsidP="002F6AAA">
      <w:r w:rsidRPr="00400F24">
        <w:lastRenderedPageBreak/>
        <w:t xml:space="preserve">A partner represents a company in Business Central. An intercompany partner can also be assigned to a </w:t>
      </w:r>
      <w:r w:rsidRPr="00400F24">
        <w:rPr>
          <w:u w:val="single"/>
        </w:rPr>
        <w:t xml:space="preserve">customer </w:t>
      </w:r>
      <w:r w:rsidRPr="00400F24">
        <w:t xml:space="preserve">or </w:t>
      </w:r>
      <w:r w:rsidRPr="00400F24">
        <w:rPr>
          <w:u w:val="single"/>
        </w:rPr>
        <w:t>vendor</w:t>
      </w:r>
      <w:r w:rsidR="009F4F06" w:rsidRPr="009F4F06">
        <w:t>,</w:t>
      </w:r>
      <w:r w:rsidRPr="00400F24">
        <w:t xml:space="preserve"> if you intend to purchase and sell products or services between companies using orders or invoices. </w:t>
      </w:r>
    </w:p>
    <w:p w14:paraId="615191EC" w14:textId="77777777" w:rsidR="00614544" w:rsidRDefault="00614544" w:rsidP="00614544">
      <w:r w:rsidRPr="00400F24">
        <w:t xml:space="preserve">Intercompany </w:t>
      </w:r>
      <w:r>
        <w:t xml:space="preserve">transacting </w:t>
      </w:r>
      <w:r w:rsidRPr="00400F24">
        <w:t>requires a dedicated setup in all companies that trade with each other</w:t>
      </w:r>
      <w:r>
        <w:t>. This defines each company to the other including customer, vendor and general receivables and payables.</w:t>
      </w:r>
    </w:p>
    <w:p w14:paraId="209E3407" w14:textId="0D9EA1BD" w:rsidR="00443D0D" w:rsidRPr="00400F24" w:rsidRDefault="00443D0D" w:rsidP="00443D0D">
      <w:r w:rsidRPr="00400F24">
        <w:t xml:space="preserve">The first step is to create the Intercompany Code for </w:t>
      </w:r>
      <w:r>
        <w:t xml:space="preserve">each </w:t>
      </w:r>
      <w:r w:rsidRPr="00400F24">
        <w:t>company</w:t>
      </w:r>
      <w:r>
        <w:t>. Then</w:t>
      </w:r>
      <w:r w:rsidRPr="00400F24">
        <w:t xml:space="preserve"> </w:t>
      </w:r>
      <w:r>
        <w:t>utilize those codes as you complete the intercompany partner setups.</w:t>
      </w:r>
      <w:r w:rsidRPr="00400F24">
        <w:t xml:space="preserve"> </w:t>
      </w:r>
      <w:r>
        <w:t>It is r</w:t>
      </w:r>
      <w:r w:rsidRPr="00400F24">
        <w:t>ecommend</w:t>
      </w:r>
      <w:r>
        <w:t>ed</w:t>
      </w:r>
      <w:r w:rsidRPr="00400F24">
        <w:t xml:space="preserve"> </w:t>
      </w:r>
      <w:r w:rsidR="009F4F06" w:rsidRPr="00400F24">
        <w:t>to use</w:t>
      </w:r>
      <w:r w:rsidRPr="00400F24">
        <w:t xml:space="preserve"> codes that help identify the Company and the IC Partner</w:t>
      </w:r>
      <w:r>
        <w:t>. Examples</w:t>
      </w:r>
      <w:r w:rsidR="002F6AAA">
        <w:t>:</w:t>
      </w:r>
      <w:r w:rsidRPr="00400F24">
        <w:t xml:space="preserve"> (</w:t>
      </w:r>
      <w:r>
        <w:t>SCJ) for Steve Chinsky</w:t>
      </w:r>
      <w:r w:rsidR="009F4F06">
        <w:t>’</w:t>
      </w:r>
      <w:r>
        <w:t>s Jets or (DCL) for Dallefeld Consulting LLC</w:t>
      </w:r>
      <w:r w:rsidR="002F6AAA">
        <w:t>.</w:t>
      </w:r>
    </w:p>
    <w:p w14:paraId="4879ECC8" w14:textId="53CA06A1" w:rsidR="00400F24" w:rsidRDefault="00400F24" w:rsidP="00400F24">
      <w:pPr>
        <w:pStyle w:val="Heading3"/>
      </w:pPr>
      <w:bookmarkStart w:id="2" w:name="_Toc190097267"/>
      <w:r>
        <w:t>Intercompany Partners</w:t>
      </w:r>
      <w:bookmarkEnd w:id="2"/>
    </w:p>
    <w:p w14:paraId="4E0C9895" w14:textId="77AA5117" w:rsidR="00400F24" w:rsidRDefault="00400F24" w:rsidP="002F6AAA">
      <w:pPr>
        <w:pStyle w:val="NoSpacing"/>
      </w:pPr>
    </w:p>
    <w:p w14:paraId="462AD8E7" w14:textId="7C1BB4D5" w:rsidR="002F6AAA" w:rsidRPr="00400F24" w:rsidRDefault="002F6AAA" w:rsidP="002F6AAA">
      <w:pPr>
        <w:pStyle w:val="ListParagraph"/>
        <w:numPr>
          <w:ilvl w:val="0"/>
          <w:numId w:val="3"/>
        </w:numPr>
      </w:pPr>
      <w:r w:rsidRPr="00400F24">
        <w:t xml:space="preserve">Intercompany partners are set </w:t>
      </w:r>
      <w:r w:rsidR="009F4F06" w:rsidRPr="00400F24">
        <w:t>on</w:t>
      </w:r>
      <w:r w:rsidRPr="00400F24">
        <w:t xml:space="preserve"> the Intercompany Setup page. </w:t>
      </w:r>
      <w:r>
        <w:t>W</w:t>
      </w:r>
      <w:r w:rsidRPr="00400F24">
        <w:t>orking on multiple browser tabs when configuring intercompany partners</w:t>
      </w:r>
      <w:r>
        <w:t xml:space="preserve"> can</w:t>
      </w:r>
      <w:r w:rsidRPr="00400F24">
        <w:t xml:space="preserve"> make it easier to match the IC codes of the different companies. </w:t>
      </w:r>
    </w:p>
    <w:p w14:paraId="484C10AB" w14:textId="77777777" w:rsidR="00400F24" w:rsidRDefault="00400F24" w:rsidP="00400F24">
      <w:pPr>
        <w:numPr>
          <w:ilvl w:val="0"/>
          <w:numId w:val="3"/>
        </w:numPr>
      </w:pPr>
      <w:r w:rsidRPr="00400F24">
        <w:t>Use the action Add IC Partner on the page menu to create an intercompany partner and fill in the relevant fields.</w:t>
      </w:r>
    </w:p>
    <w:p w14:paraId="239EB6B8" w14:textId="68C27E75" w:rsidR="00400F24" w:rsidRDefault="00400F24" w:rsidP="00400F24">
      <w:pPr>
        <w:numPr>
          <w:ilvl w:val="0"/>
          <w:numId w:val="3"/>
        </w:numPr>
      </w:pPr>
      <w:r w:rsidRPr="00400F24">
        <w:t>Use the Company Name field on the IC partner page to link a</w:t>
      </w:r>
      <w:r w:rsidR="00E7194D">
        <w:t>n</w:t>
      </w:r>
      <w:r w:rsidRPr="00400F24">
        <w:t xml:space="preserve"> IC partner to a company in Business Central.</w:t>
      </w:r>
    </w:p>
    <w:p w14:paraId="0A9029B2" w14:textId="537667E6" w:rsidR="00400F24" w:rsidRDefault="00400F24" w:rsidP="00400F24">
      <w:r w:rsidRPr="00400F24">
        <w:rPr>
          <w:noProof/>
        </w:rPr>
        <w:drawing>
          <wp:inline distT="0" distB="0" distL="0" distR="0" wp14:anchorId="007CD32D" wp14:editId="1449F1DD">
            <wp:extent cx="5943600" cy="2682240"/>
            <wp:effectExtent l="0" t="0" r="0" b="3810"/>
            <wp:docPr id="1952469236" name="Picture 1" descr="Intercompany Partner">
              <a:extLst xmlns:a="http://schemas.openxmlformats.org/drawingml/2006/main">
                <a:ext uri="{FF2B5EF4-FFF2-40B4-BE49-F238E27FC236}">
                  <a16:creationId xmlns:a16="http://schemas.microsoft.com/office/drawing/2014/main" id="{8B9A8FFF-69FE-5EAA-6AE7-D6CEA9FC75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tercompany Partner">
                      <a:extLst>
                        <a:ext uri="{FF2B5EF4-FFF2-40B4-BE49-F238E27FC236}">
                          <a16:creationId xmlns:a16="http://schemas.microsoft.com/office/drawing/2014/main" id="{8B9A8FFF-69FE-5EAA-6AE7-D6CEA9FC754A}"/>
                        </a:ext>
                      </a:extLst>
                    </pic:cNvPr>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682240"/>
                    </a:xfrm>
                    <a:prstGeom prst="rect">
                      <a:avLst/>
                    </a:prstGeom>
                    <a:noFill/>
                    <a:ln>
                      <a:noFill/>
                    </a:ln>
                  </pic:spPr>
                </pic:pic>
              </a:graphicData>
            </a:graphic>
          </wp:inline>
        </w:drawing>
      </w:r>
    </w:p>
    <w:p w14:paraId="7C45D04F" w14:textId="4D96E2A2" w:rsidR="00400F24" w:rsidRPr="00400F24" w:rsidRDefault="00400F24" w:rsidP="00400F24">
      <w:r w:rsidRPr="00400F24">
        <w:t>Business Central will validate the IC code in the company linked to this code, which is Cronus I</w:t>
      </w:r>
      <w:r w:rsidR="00B104F6">
        <w:t>taly</w:t>
      </w:r>
      <w:r w:rsidRPr="00400F24">
        <w:t xml:space="preserve"> in </w:t>
      </w:r>
      <w:r w:rsidR="00B9319B">
        <w:t xml:space="preserve">the </w:t>
      </w:r>
      <w:r w:rsidRPr="00400F24">
        <w:t>example. You will get a warning if the value of the Intercompany Code chosen on this page does not match the IC code in the other company. The error below is an example of an incorrect configuration.</w:t>
      </w:r>
    </w:p>
    <w:p w14:paraId="2F7F34DA" w14:textId="5BE00C2F" w:rsidR="00400F24" w:rsidRDefault="00400F24" w:rsidP="00400F24">
      <w:r w:rsidRPr="00400F24">
        <w:rPr>
          <w:noProof/>
        </w:rPr>
        <w:lastRenderedPageBreak/>
        <w:drawing>
          <wp:inline distT="0" distB="0" distL="0" distR="0" wp14:anchorId="3D404842" wp14:editId="5DA42ED9">
            <wp:extent cx="5800725" cy="2581275"/>
            <wp:effectExtent l="19050" t="19050" r="28575" b="28575"/>
            <wp:docPr id="533359844" name="Picture 1" descr="Intercompany Partner">
              <a:extLst xmlns:a="http://schemas.openxmlformats.org/drawingml/2006/main">
                <a:ext uri="{FF2B5EF4-FFF2-40B4-BE49-F238E27FC236}">
                  <a16:creationId xmlns:a16="http://schemas.microsoft.com/office/drawing/2014/main" id="{D50AE61B-E9A0-BDA5-A888-AEFBB320FA0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tercompany Partner">
                      <a:extLst>
                        <a:ext uri="{FF2B5EF4-FFF2-40B4-BE49-F238E27FC236}">
                          <a16:creationId xmlns:a16="http://schemas.microsoft.com/office/drawing/2014/main" id="{D50AE61B-E9A0-BDA5-A888-AEFBB320FA07}"/>
                        </a:ext>
                      </a:extLst>
                    </pic:cNvPr>
                    <pic:cNvPicPr>
                      <a:picLocks noChangeAspect="1"/>
                    </pic:cNvPicPr>
                  </pic:nvPicPr>
                  <pic:blipFill rotWithShape="1">
                    <a:blip r:embed="rId9">
                      <a:extLst>
                        <a:ext uri="{28A0092B-C50C-407E-A947-70E740481C1C}">
                          <a14:useLocalDpi xmlns:a14="http://schemas.microsoft.com/office/drawing/2010/main" val="0"/>
                        </a:ext>
                      </a:extLst>
                    </a:blip>
                    <a:srcRect l="1442" t="2081" r="960" b="3931"/>
                    <a:stretch/>
                  </pic:blipFill>
                  <pic:spPr bwMode="auto">
                    <a:xfrm>
                      <a:off x="0" y="0"/>
                      <a:ext cx="5800725" cy="2581275"/>
                    </a:xfrm>
                    <a:prstGeom prst="rect">
                      <a:avLst/>
                    </a:prstGeom>
                    <a:noFill/>
                    <a:ln w="9525" cap="flat" cmpd="sng" algn="ctr">
                      <a:solidFill>
                        <a:srgbClr val="1560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86D5B15" w14:textId="77777777" w:rsidR="005244B3" w:rsidRDefault="005244B3" w:rsidP="00400F24">
      <w:pPr>
        <w:pStyle w:val="Heading4"/>
      </w:pPr>
    </w:p>
    <w:p w14:paraId="296CDC4B" w14:textId="13C0CE1C" w:rsidR="00400F24" w:rsidRPr="00400F24" w:rsidRDefault="00400F24" w:rsidP="009141E2">
      <w:pPr>
        <w:pStyle w:val="NoSpacing"/>
      </w:pPr>
      <w:r w:rsidRPr="00400F24">
        <w:t>Sales and Purchase Transactions</w:t>
      </w:r>
      <w:r w:rsidR="00C67843">
        <w:t xml:space="preserve"> Tabs</w:t>
      </w:r>
    </w:p>
    <w:p w14:paraId="677578B3" w14:textId="77777777" w:rsidR="00400F24" w:rsidRDefault="00400F24" w:rsidP="00400F24">
      <w:pPr>
        <w:pStyle w:val="NoSpacing"/>
      </w:pPr>
    </w:p>
    <w:p w14:paraId="12F4BBF5" w14:textId="0F40FB3A" w:rsidR="00400F24" w:rsidRDefault="00400F24" w:rsidP="00400F24">
      <w:pPr>
        <w:pStyle w:val="NoSpacing"/>
      </w:pPr>
      <w:r w:rsidRPr="00400F24">
        <w:t xml:space="preserve">The Receivables Account on this page </w:t>
      </w:r>
      <w:r w:rsidR="00AC1EA1">
        <w:t>is for defining</w:t>
      </w:r>
      <w:r w:rsidRPr="00400F24">
        <w:t xml:space="preserve"> a dedicated account for intercompany </w:t>
      </w:r>
      <w:r w:rsidR="00AC1EA1">
        <w:t>receivable</w:t>
      </w:r>
      <w:r w:rsidRPr="00400F24">
        <w:t xml:space="preserve">s. </w:t>
      </w:r>
      <w:r w:rsidR="00A45A23">
        <w:t>Whereas the Customer No. can identify a customer record to be used for sale</w:t>
      </w:r>
      <w:r w:rsidR="00EA3452">
        <w:t xml:space="preserve">s and receivables. </w:t>
      </w:r>
      <w:r w:rsidRPr="00400F24">
        <w:t>The Outbound Sales Item No. Type specifies the item reference used when the intercompany partner receives the order; here, we have three choices:</w:t>
      </w:r>
    </w:p>
    <w:p w14:paraId="4ADCB0DB" w14:textId="77777777" w:rsidR="00400F24" w:rsidRPr="00400F24" w:rsidRDefault="00400F24" w:rsidP="00400F24">
      <w:pPr>
        <w:pStyle w:val="NoSpacing"/>
      </w:pPr>
    </w:p>
    <w:p w14:paraId="51DB69AA" w14:textId="77777777" w:rsidR="00400F24" w:rsidRPr="00400F24" w:rsidRDefault="00400F24" w:rsidP="00EA3452">
      <w:pPr>
        <w:pStyle w:val="NoSpacing"/>
        <w:ind w:left="720"/>
      </w:pPr>
      <w:r w:rsidRPr="00400F24">
        <w:rPr>
          <w:b/>
          <w:bCs/>
        </w:rPr>
        <w:t xml:space="preserve">Order: </w:t>
      </w:r>
      <w:r w:rsidRPr="00400F24">
        <w:t>The item number on the sales document line of the sending company is the same as the item number on the purchase document of the receiving company.</w:t>
      </w:r>
    </w:p>
    <w:p w14:paraId="7D20063F" w14:textId="77777777" w:rsidR="005161D7" w:rsidRDefault="005161D7" w:rsidP="00EA3452">
      <w:pPr>
        <w:pStyle w:val="NoSpacing"/>
        <w:ind w:left="720"/>
        <w:rPr>
          <w:b/>
          <w:bCs/>
        </w:rPr>
      </w:pPr>
    </w:p>
    <w:p w14:paraId="6971796B" w14:textId="0561344C" w:rsidR="00400F24" w:rsidRPr="00400F24" w:rsidRDefault="00400F24" w:rsidP="00EA3452">
      <w:pPr>
        <w:pStyle w:val="NoSpacing"/>
        <w:ind w:left="720"/>
      </w:pPr>
      <w:r w:rsidRPr="00400F24">
        <w:rPr>
          <w:b/>
          <w:bCs/>
        </w:rPr>
        <w:t>Common Item No.</w:t>
      </w:r>
      <w:r w:rsidRPr="00400F24">
        <w:t xml:space="preserve"> The reference will be the value of the Common Item No. field on the item card. </w:t>
      </w:r>
    </w:p>
    <w:p w14:paraId="22B590EF" w14:textId="77777777" w:rsidR="005161D7" w:rsidRDefault="005161D7" w:rsidP="00EA3452">
      <w:pPr>
        <w:pStyle w:val="NoSpacing"/>
        <w:ind w:left="720"/>
        <w:rPr>
          <w:b/>
          <w:bCs/>
        </w:rPr>
      </w:pPr>
    </w:p>
    <w:p w14:paraId="414BF5D5" w14:textId="509C9965" w:rsidR="00400F24" w:rsidRDefault="00400F24" w:rsidP="00EA3452">
      <w:pPr>
        <w:pStyle w:val="NoSpacing"/>
        <w:ind w:left="720"/>
      </w:pPr>
      <w:r w:rsidRPr="00400F24">
        <w:rPr>
          <w:b/>
          <w:bCs/>
        </w:rPr>
        <w:t>Item Reference:</w:t>
      </w:r>
      <w:r w:rsidRPr="00400F24">
        <w:t xml:space="preserve"> The item reference code set up for the intercompany customer matches the item reference of the intercompany vendor item reference.</w:t>
      </w:r>
    </w:p>
    <w:p w14:paraId="44EA0525" w14:textId="77777777" w:rsidR="00400F24" w:rsidRPr="00400F24" w:rsidRDefault="00400F24" w:rsidP="00400F24">
      <w:pPr>
        <w:pStyle w:val="NoSpacing"/>
      </w:pPr>
    </w:p>
    <w:p w14:paraId="1A22BECD" w14:textId="77777777" w:rsidR="00400F24" w:rsidRDefault="00400F24" w:rsidP="00400F24">
      <w:pPr>
        <w:pStyle w:val="NoSpacing"/>
      </w:pPr>
      <w:r w:rsidRPr="00400F24">
        <w:t>The same logic applies to the purchase transaction tab.</w:t>
      </w:r>
    </w:p>
    <w:p w14:paraId="46D4899B" w14:textId="77777777" w:rsidR="00400F24" w:rsidRDefault="00400F24" w:rsidP="00400F24">
      <w:pPr>
        <w:pStyle w:val="NoSpacing"/>
      </w:pPr>
    </w:p>
    <w:p w14:paraId="0FB45246" w14:textId="7255E392" w:rsidR="00400F24" w:rsidRDefault="00400F24" w:rsidP="00400F24">
      <w:pPr>
        <w:pStyle w:val="NoSpacing"/>
      </w:pPr>
      <w:r w:rsidRPr="00400F24">
        <w:rPr>
          <w:noProof/>
        </w:rPr>
        <w:lastRenderedPageBreak/>
        <w:drawing>
          <wp:inline distT="0" distB="0" distL="0" distR="0" wp14:anchorId="64084F66" wp14:editId="42DB847F">
            <wp:extent cx="4591050" cy="3698584"/>
            <wp:effectExtent l="19050" t="19050" r="19050" b="16510"/>
            <wp:docPr id="733962019" name="Picture 1" descr="Intercompany Partner">
              <a:extLst xmlns:a="http://schemas.openxmlformats.org/drawingml/2006/main">
                <a:ext uri="{FF2B5EF4-FFF2-40B4-BE49-F238E27FC236}">
                  <a16:creationId xmlns:a16="http://schemas.microsoft.com/office/drawing/2014/main" id="{B2FF034E-0B99-9679-E33E-976C111ADB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tercompany Partner">
                      <a:extLst>
                        <a:ext uri="{FF2B5EF4-FFF2-40B4-BE49-F238E27FC236}">
                          <a16:creationId xmlns:a16="http://schemas.microsoft.com/office/drawing/2014/main" id="{B2FF034E-0B99-9679-E33E-976C111ADB40}"/>
                        </a:ext>
                      </a:extLst>
                    </pic:cNvPr>
                    <pic:cNvPicPr>
                      <a:picLocks noChangeAspect="1"/>
                    </pic:cNvPicPr>
                  </pic:nvPicPr>
                  <pic:blipFill rotWithShape="1">
                    <a:blip r:embed="rId10">
                      <a:extLst>
                        <a:ext uri="{28A0092B-C50C-407E-A947-70E740481C1C}">
                          <a14:useLocalDpi xmlns:a14="http://schemas.microsoft.com/office/drawing/2010/main" val="0"/>
                        </a:ext>
                      </a:extLst>
                    </a:blip>
                    <a:srcRect l="3216" t="2857" r="1250" b="2417"/>
                    <a:stretch/>
                  </pic:blipFill>
                  <pic:spPr bwMode="auto">
                    <a:xfrm>
                      <a:off x="0" y="0"/>
                      <a:ext cx="4605176" cy="3709964"/>
                    </a:xfrm>
                    <a:prstGeom prst="rect">
                      <a:avLst/>
                    </a:prstGeom>
                    <a:noFill/>
                    <a:ln w="9525" cap="flat" cmpd="sng" algn="ctr">
                      <a:solidFill>
                        <a:srgbClr val="1560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CA8958B" w14:textId="77777777" w:rsidR="00400F24" w:rsidRPr="00D27307" w:rsidRDefault="00400F24" w:rsidP="00D27307">
      <w:pPr>
        <w:pStyle w:val="NoSpacing"/>
      </w:pPr>
    </w:p>
    <w:p w14:paraId="005F41BA" w14:textId="77777777" w:rsidR="00400F24" w:rsidRPr="00400F24" w:rsidRDefault="00400F24" w:rsidP="000B146E">
      <w:pPr>
        <w:pStyle w:val="Heading3"/>
      </w:pPr>
      <w:bookmarkStart w:id="3" w:name="_Toc190097268"/>
      <w:r w:rsidRPr="00400F24">
        <w:t>Cross-Environment Intercompany Partners</w:t>
      </w:r>
      <w:bookmarkEnd w:id="3"/>
    </w:p>
    <w:p w14:paraId="2252F3F8" w14:textId="77777777" w:rsidR="00400F24" w:rsidRDefault="00400F24" w:rsidP="009C79CF">
      <w:pPr>
        <w:pStyle w:val="NoSpacing"/>
      </w:pPr>
    </w:p>
    <w:p w14:paraId="67551BDA" w14:textId="57E68E45" w:rsidR="00400F24" w:rsidRPr="00400F24" w:rsidRDefault="00400F24" w:rsidP="00400F24">
      <w:r w:rsidRPr="00400F24">
        <w:t xml:space="preserve">Starting from Business Central version 23, users can set up intercompany partners and transfer transactions across environments. Business Central allows connecting multiple environments through the Environments page. Each environment comes as an environment link designed to store additional information for system admins. For example, </w:t>
      </w:r>
      <w:r w:rsidR="00E636B3">
        <w:t>you can</w:t>
      </w:r>
      <w:r w:rsidRPr="00400F24">
        <w:t xml:space="preserve"> create groups to </w:t>
      </w:r>
      <w:r w:rsidR="009F4F06" w:rsidRPr="00400F24">
        <w:t>separate production</w:t>
      </w:r>
      <w:r w:rsidRPr="00400F24">
        <w:t xml:space="preserve"> </w:t>
      </w:r>
      <w:proofErr w:type="gramStart"/>
      <w:r w:rsidR="00E636B3">
        <w:t>environment</w:t>
      </w:r>
      <w:proofErr w:type="gramEnd"/>
      <w:r w:rsidR="00E636B3">
        <w:t xml:space="preserve"> </w:t>
      </w:r>
      <w:r w:rsidRPr="00400F24">
        <w:t>from sandbox environment.</w:t>
      </w:r>
    </w:p>
    <w:p w14:paraId="384E46BC" w14:textId="23AF505C" w:rsidR="00400F24" w:rsidRDefault="00400F24" w:rsidP="00400F24">
      <w:r w:rsidRPr="00400F24">
        <w:rPr>
          <w:noProof/>
        </w:rPr>
        <w:drawing>
          <wp:inline distT="0" distB="0" distL="0" distR="0" wp14:anchorId="17AAAE78" wp14:editId="35BEB312">
            <wp:extent cx="5676900" cy="2457450"/>
            <wp:effectExtent l="19050" t="19050" r="19050" b="19050"/>
            <wp:docPr id="3" name="Picture 2" descr="Environment Link">
              <a:extLst xmlns:a="http://schemas.openxmlformats.org/drawingml/2006/main">
                <a:ext uri="{FF2B5EF4-FFF2-40B4-BE49-F238E27FC236}">
                  <a16:creationId xmlns:a16="http://schemas.microsoft.com/office/drawing/2014/main" id="{05AAC267-7AC6-7C87-C70B-6F2B535F7E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Environment Link">
                      <a:extLst>
                        <a:ext uri="{FF2B5EF4-FFF2-40B4-BE49-F238E27FC236}">
                          <a16:creationId xmlns:a16="http://schemas.microsoft.com/office/drawing/2014/main" id="{05AAC267-7AC6-7C87-C70B-6F2B535F7ED3}"/>
                        </a:ext>
                      </a:extLst>
                    </pic:cNvPr>
                    <pic:cNvPicPr>
                      <a:picLocks noChangeAspect="1"/>
                    </pic:cNvPicPr>
                  </pic:nvPicPr>
                  <pic:blipFill rotWithShape="1">
                    <a:blip r:embed="rId11">
                      <a:extLst>
                        <a:ext uri="{28A0092B-C50C-407E-A947-70E740481C1C}">
                          <a14:useLocalDpi xmlns:a14="http://schemas.microsoft.com/office/drawing/2010/main" val="0"/>
                        </a:ext>
                      </a:extLst>
                    </a:blip>
                    <a:srcRect l="961" t="2822" r="3525" b="6206"/>
                    <a:stretch/>
                  </pic:blipFill>
                  <pic:spPr bwMode="auto">
                    <a:xfrm>
                      <a:off x="0" y="0"/>
                      <a:ext cx="5676900" cy="2457450"/>
                    </a:xfrm>
                    <a:prstGeom prst="rect">
                      <a:avLst/>
                    </a:prstGeom>
                    <a:noFill/>
                    <a:ln w="9525" cap="flat" cmpd="sng" algn="ctr">
                      <a:solidFill>
                        <a:srgbClr val="156082"/>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B28388A" w14:textId="0E96CEF6" w:rsidR="00400F24" w:rsidRPr="00400F24" w:rsidRDefault="004679A8" w:rsidP="00400F24">
      <w:r>
        <w:lastRenderedPageBreak/>
        <w:t>You</w:t>
      </w:r>
      <w:r w:rsidR="00400F24" w:rsidRPr="00400F24">
        <w:t xml:space="preserve"> can add an intercompany partner for a company in the linked environment using a process </w:t>
      </w:r>
      <w:proofErr w:type="gramStart"/>
      <w:r w:rsidR="00400F24" w:rsidRPr="00400F24">
        <w:t>similar to</w:t>
      </w:r>
      <w:proofErr w:type="gramEnd"/>
      <w:r w:rsidR="00400F24" w:rsidRPr="00400F24">
        <w:t xml:space="preserve"> what </w:t>
      </w:r>
      <w:r>
        <w:t>has been</w:t>
      </w:r>
      <w:r w:rsidR="00400F24" w:rsidRPr="00400F24">
        <w:t xml:space="preserve"> described before. </w:t>
      </w:r>
      <w:r>
        <w:t>U</w:t>
      </w:r>
      <w:r w:rsidR="00400F24" w:rsidRPr="00400F24">
        <w:t>se the Connect Externally Setup action this time to link the company hosted in the external environment.</w:t>
      </w:r>
    </w:p>
    <w:p w14:paraId="50691FF7" w14:textId="435D52CA" w:rsidR="00400F24" w:rsidRDefault="00400F24" w:rsidP="00400F24">
      <w:r w:rsidRPr="00400F24">
        <w:rPr>
          <w:noProof/>
        </w:rPr>
        <w:drawing>
          <wp:inline distT="0" distB="0" distL="0" distR="0" wp14:anchorId="6E3DE2ED" wp14:editId="3CB7AE60">
            <wp:extent cx="5943600" cy="2571750"/>
            <wp:effectExtent l="0" t="0" r="0" b="0"/>
            <wp:docPr id="2016934700" name="Picture 4" descr="Intercompany Partner">
              <a:extLst xmlns:a="http://schemas.openxmlformats.org/drawingml/2006/main">
                <a:ext uri="{FF2B5EF4-FFF2-40B4-BE49-F238E27FC236}">
                  <a16:creationId xmlns:a16="http://schemas.microsoft.com/office/drawing/2014/main" id="{8073EED0-1810-8473-9A6D-E6F70E55CC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tercompany Partner">
                      <a:extLst>
                        <a:ext uri="{FF2B5EF4-FFF2-40B4-BE49-F238E27FC236}">
                          <a16:creationId xmlns:a16="http://schemas.microsoft.com/office/drawing/2014/main" id="{8073EED0-1810-8473-9A6D-E6F70E55CCC2}"/>
                        </a:ext>
                      </a:extLst>
                    </pic:cNvPr>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571750"/>
                    </a:xfrm>
                    <a:prstGeom prst="rect">
                      <a:avLst/>
                    </a:prstGeom>
                    <a:noFill/>
                    <a:ln>
                      <a:noFill/>
                    </a:ln>
                  </pic:spPr>
                </pic:pic>
              </a:graphicData>
            </a:graphic>
          </wp:inline>
        </w:drawing>
      </w:r>
    </w:p>
    <w:p w14:paraId="0E8D10A8" w14:textId="77777777" w:rsidR="00400F24" w:rsidRDefault="00400F24" w:rsidP="00400F24"/>
    <w:p w14:paraId="1EDB1AB7" w14:textId="1E6FF3C6" w:rsidR="00400F24" w:rsidRPr="00400F24" w:rsidRDefault="00400F24" w:rsidP="00400F24">
      <w:r w:rsidRPr="00400F24">
        <w:t xml:space="preserve">The setup also involves a step where you create and enable a registration application in Azure Portal in the company that you need to give access to from other companies. The picture below shows </w:t>
      </w:r>
      <w:r w:rsidR="005161D7">
        <w:t>the</w:t>
      </w:r>
      <w:r w:rsidRPr="00400F24">
        <w:t xml:space="preserve"> Cross Environment IC Setup application with permission to read and write data to Business Central.</w:t>
      </w:r>
    </w:p>
    <w:p w14:paraId="56E32330" w14:textId="0647EF89" w:rsidR="00400F24" w:rsidRDefault="00400F24" w:rsidP="00400F24">
      <w:r w:rsidRPr="00400F24">
        <w:rPr>
          <w:noProof/>
        </w:rPr>
        <w:drawing>
          <wp:inline distT="0" distB="0" distL="0" distR="0" wp14:anchorId="10BCFF0A" wp14:editId="3C2780C1">
            <wp:extent cx="5943600" cy="2560955"/>
            <wp:effectExtent l="0" t="0" r="0" b="0"/>
            <wp:docPr id="1329452715" name="Picture 2" descr="Intercompany Setup Azure App">
              <a:extLst xmlns:a="http://schemas.openxmlformats.org/drawingml/2006/main">
                <a:ext uri="{FF2B5EF4-FFF2-40B4-BE49-F238E27FC236}">
                  <a16:creationId xmlns:a16="http://schemas.microsoft.com/office/drawing/2014/main" id="{82C06B6E-DB38-52D7-B613-DD1DBA34D8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ntercompany Setup Azure App">
                      <a:extLst>
                        <a:ext uri="{FF2B5EF4-FFF2-40B4-BE49-F238E27FC236}">
                          <a16:creationId xmlns:a16="http://schemas.microsoft.com/office/drawing/2014/main" id="{82C06B6E-DB38-52D7-B613-DD1DBA34D878}"/>
                        </a:ext>
                      </a:extLst>
                    </pic:cNvPr>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560955"/>
                    </a:xfrm>
                    <a:prstGeom prst="rect">
                      <a:avLst/>
                    </a:prstGeom>
                    <a:noFill/>
                    <a:ln>
                      <a:noFill/>
                    </a:ln>
                  </pic:spPr>
                </pic:pic>
              </a:graphicData>
            </a:graphic>
          </wp:inline>
        </w:drawing>
      </w:r>
    </w:p>
    <w:p w14:paraId="29DECBFF" w14:textId="77777777" w:rsidR="00400F24" w:rsidRDefault="00400F24" w:rsidP="00400F24"/>
    <w:p w14:paraId="12AB4C08" w14:textId="77777777" w:rsidR="009F4F06" w:rsidRDefault="009F4F06" w:rsidP="00400F24"/>
    <w:p w14:paraId="539053A4" w14:textId="77777777" w:rsidR="009F4F06" w:rsidRDefault="009F4F06" w:rsidP="00400F24"/>
    <w:p w14:paraId="3DA3F7E9" w14:textId="77777777" w:rsidR="009F4F06" w:rsidRDefault="009F4F06" w:rsidP="00400F24"/>
    <w:p w14:paraId="76CB7F50" w14:textId="1B1CEFB1" w:rsidR="00400F24" w:rsidRDefault="00400F24" w:rsidP="000B146E">
      <w:pPr>
        <w:pStyle w:val="Heading3"/>
      </w:pPr>
      <w:bookmarkStart w:id="4" w:name="_Toc190097269"/>
      <w:r>
        <w:lastRenderedPageBreak/>
        <w:t>Transfer Types</w:t>
      </w:r>
      <w:bookmarkEnd w:id="4"/>
    </w:p>
    <w:p w14:paraId="21DA05FB" w14:textId="77777777" w:rsidR="009C79CF" w:rsidRPr="009C79CF" w:rsidRDefault="009C79CF" w:rsidP="009C79CF">
      <w:pPr>
        <w:pStyle w:val="NoSpacing"/>
      </w:pPr>
    </w:p>
    <w:p w14:paraId="4D4AB62F" w14:textId="77777777" w:rsidR="00400F24" w:rsidRPr="00400F24" w:rsidRDefault="00400F24" w:rsidP="00400F24">
      <w:r w:rsidRPr="00400F24">
        <w:t>Users can send intercompany transactions using different methods. Which method to use depends on whether you have Business Central on-premises or SaaS.</w:t>
      </w:r>
    </w:p>
    <w:p w14:paraId="463C193E" w14:textId="77777777" w:rsidR="00400F24" w:rsidRPr="00400F24" w:rsidRDefault="00400F24" w:rsidP="00400F24">
      <w:r w:rsidRPr="00400F24">
        <w:rPr>
          <w:b/>
          <w:bCs/>
        </w:rPr>
        <w:t>File Location</w:t>
      </w:r>
      <w:r w:rsidRPr="00400F24">
        <w:t>: Available only for Business Central on-premises. This option allows retrieving Intercompany Transactions as .xml files. In Business Central online, you can't use file locations to transfer transactions to IC partners because the application can't access your local network. However, you can still use files to send and receive IC transactions. In this case, the file will be downloaded to the user's computer, from where it can be sent to someone in the partner company, for example, by email.</w:t>
      </w:r>
    </w:p>
    <w:p w14:paraId="0AA13625" w14:textId="77777777" w:rsidR="00400F24" w:rsidRPr="00400F24" w:rsidRDefault="00400F24" w:rsidP="00400F24">
      <w:r w:rsidRPr="00400F24">
        <w:rPr>
          <w:b/>
          <w:bCs/>
        </w:rPr>
        <w:t>Database</w:t>
      </w:r>
      <w:r w:rsidRPr="00400F24">
        <w:t xml:space="preserve">: This option allows sending transactions within the Business Central database. With the database transfer type, users can exchange intercompany purchases and sales in the sending company and get the corresponding transaction in the receiving company's inbox. </w:t>
      </w:r>
    </w:p>
    <w:p w14:paraId="65A6DC04" w14:textId="77777777" w:rsidR="00400F24" w:rsidRPr="00400F24" w:rsidRDefault="00400F24" w:rsidP="00400F24">
      <w:r w:rsidRPr="00400F24">
        <w:rPr>
          <w:b/>
          <w:bCs/>
        </w:rPr>
        <w:t>Email</w:t>
      </w:r>
      <w:r w:rsidRPr="00400F24">
        <w:t>: With email the .xml files are exchanged via email. Users must download the attachment and import it into the IC Inbox.</w:t>
      </w:r>
    </w:p>
    <w:p w14:paraId="22776153" w14:textId="4D537698" w:rsidR="00400F24" w:rsidRDefault="00400F24" w:rsidP="00400F24">
      <w:r w:rsidRPr="00400F24">
        <w:rPr>
          <w:b/>
          <w:bCs/>
        </w:rPr>
        <w:t>No Transfer</w:t>
      </w:r>
      <w:r w:rsidRPr="00400F24">
        <w:t>: With this option, there is no transfer of data.</w:t>
      </w:r>
    </w:p>
    <w:p w14:paraId="605019B7" w14:textId="77777777" w:rsidR="00621088" w:rsidRDefault="00621088" w:rsidP="00621088">
      <w:pPr>
        <w:pStyle w:val="Heading4"/>
      </w:pPr>
      <w:r w:rsidRPr="00621088">
        <w:t>Intercompany Chart of Accounts</w:t>
      </w:r>
    </w:p>
    <w:p w14:paraId="6DBA307E" w14:textId="77777777" w:rsidR="009C79CF" w:rsidRPr="009C79CF" w:rsidRDefault="009C79CF" w:rsidP="009C79CF">
      <w:pPr>
        <w:pStyle w:val="NoSpacing"/>
      </w:pPr>
    </w:p>
    <w:p w14:paraId="2D656488" w14:textId="5E4AA0D5" w:rsidR="00621088" w:rsidRPr="00621088" w:rsidRDefault="00621088" w:rsidP="00621088">
      <w:r w:rsidRPr="00621088">
        <w:t>Companies set up to exchange sales and purchases require the same intercompany chart of accounts.</w:t>
      </w:r>
      <w:r w:rsidR="00C71A17">
        <w:t xml:space="preserve"> Note: no</w:t>
      </w:r>
      <w:r w:rsidR="007C7772">
        <w:t>t</w:t>
      </w:r>
      <w:r w:rsidR="00C71A17">
        <w:t xml:space="preserve"> the same chart of accounts</w:t>
      </w:r>
      <w:r w:rsidR="007C7772">
        <w:t xml:space="preserve">! </w:t>
      </w:r>
      <w:r w:rsidRPr="00621088">
        <w:t xml:space="preserve"> The </w:t>
      </w:r>
      <w:r w:rsidR="009543A2">
        <w:t>“</w:t>
      </w:r>
      <w:r w:rsidRPr="00621088">
        <w:t>I</w:t>
      </w:r>
      <w:r w:rsidR="009543A2">
        <w:t>C</w:t>
      </w:r>
      <w:r w:rsidRPr="00621088">
        <w:t xml:space="preserve"> </w:t>
      </w:r>
      <w:r w:rsidR="009543A2">
        <w:t>C</w:t>
      </w:r>
      <w:r w:rsidRPr="00621088">
        <w:t xml:space="preserve">hart of </w:t>
      </w:r>
      <w:r w:rsidR="009543A2">
        <w:t>A</w:t>
      </w:r>
      <w:r w:rsidRPr="00621088">
        <w:t>ccounts</w:t>
      </w:r>
      <w:r w:rsidR="009543A2">
        <w:t>’ feature</w:t>
      </w:r>
      <w:r w:rsidRPr="00621088">
        <w:t xml:space="preserve"> is used to map the accounts of the trading partners so that transactions sent by one company are received to the correct account by the other partner.</w:t>
      </w:r>
    </w:p>
    <w:p w14:paraId="33FF4993" w14:textId="2843D643" w:rsidR="00400F24" w:rsidRDefault="00621088" w:rsidP="00400F24">
      <w:r w:rsidRPr="00621088">
        <w:rPr>
          <w:noProof/>
        </w:rPr>
        <w:drawing>
          <wp:inline distT="0" distB="0" distL="0" distR="0" wp14:anchorId="4D7F97D7" wp14:editId="5C3EE225">
            <wp:extent cx="5943600" cy="2742565"/>
            <wp:effectExtent l="0" t="0" r="0" b="635"/>
            <wp:docPr id="659087326" name="Picture 1" descr="Intercompany Setup">
              <a:extLst xmlns:a="http://schemas.openxmlformats.org/drawingml/2006/main">
                <a:ext uri="{FF2B5EF4-FFF2-40B4-BE49-F238E27FC236}">
                  <a16:creationId xmlns:a16="http://schemas.microsoft.com/office/drawing/2014/main" id="{2C366284-2418-4710-62A4-C0EBF02A04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tercompany Setup">
                      <a:extLst>
                        <a:ext uri="{FF2B5EF4-FFF2-40B4-BE49-F238E27FC236}">
                          <a16:creationId xmlns:a16="http://schemas.microsoft.com/office/drawing/2014/main" id="{2C366284-2418-4710-62A4-C0EBF02A04FA}"/>
                        </a:ext>
                      </a:extLst>
                    </pic:cNvPr>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2742565"/>
                    </a:xfrm>
                    <a:prstGeom prst="rect">
                      <a:avLst/>
                    </a:prstGeom>
                    <a:noFill/>
                    <a:ln>
                      <a:noFill/>
                    </a:ln>
                  </pic:spPr>
                </pic:pic>
              </a:graphicData>
            </a:graphic>
          </wp:inline>
        </w:drawing>
      </w:r>
    </w:p>
    <w:p w14:paraId="67FE80C8" w14:textId="08341F9D" w:rsidR="00C96054" w:rsidRDefault="00C96054" w:rsidP="00400F24">
      <w:r>
        <w:t>The</w:t>
      </w:r>
      <w:r w:rsidR="000B6760">
        <w:t xml:space="preserve">re are basically two </w:t>
      </w:r>
      <w:r>
        <w:t>options</w:t>
      </w:r>
      <w:r w:rsidR="000B6760">
        <w:t xml:space="preserve"> for mapping general ledger accounts between the partners</w:t>
      </w:r>
    </w:p>
    <w:p w14:paraId="547D8B2B" w14:textId="77777777" w:rsidR="005D47D3" w:rsidRDefault="000D28AD" w:rsidP="00B60D75">
      <w:pPr>
        <w:pStyle w:val="ListParagraph"/>
        <w:numPr>
          <w:ilvl w:val="0"/>
          <w:numId w:val="4"/>
        </w:numPr>
      </w:pPr>
      <w:r>
        <w:t>Map accounts with same no.</w:t>
      </w:r>
      <w:r w:rsidRPr="00937619">
        <w:t xml:space="preserve"> </w:t>
      </w:r>
    </w:p>
    <w:p w14:paraId="02F8E21E" w14:textId="5F72DC62" w:rsidR="00513F8D" w:rsidRDefault="00621088" w:rsidP="005D47D3">
      <w:pPr>
        <w:pStyle w:val="ListParagraph"/>
      </w:pPr>
      <w:r w:rsidRPr="00621088">
        <w:lastRenderedPageBreak/>
        <w:t xml:space="preserve">Mapping using the same codes of the main company's COA works if the subsidiaries have a different chart of accounts. For example, you map </w:t>
      </w:r>
      <w:proofErr w:type="gramStart"/>
      <w:r w:rsidRPr="00621088">
        <w:t>an</w:t>
      </w:r>
      <w:proofErr w:type="gramEnd"/>
      <w:r w:rsidRPr="00621088">
        <w:t xml:space="preserve"> expense account of a subsidiary company to a revenue IC general ledger code that is the same revenue account of the parent company. </w:t>
      </w:r>
    </w:p>
    <w:p w14:paraId="5C024D46" w14:textId="33E29700" w:rsidR="005D47D3" w:rsidRDefault="005D47D3" w:rsidP="005D47D3">
      <w:pPr>
        <w:pStyle w:val="ListParagraph"/>
      </w:pPr>
      <w:r>
        <w:t xml:space="preserve">In other words, </w:t>
      </w:r>
      <w:r w:rsidR="004E1C7D">
        <w:t>there are already intercompany sales and cost of sales accounts.</w:t>
      </w:r>
    </w:p>
    <w:p w14:paraId="54F6A9AF" w14:textId="77777777" w:rsidR="005D47D3" w:rsidRDefault="005D47D3" w:rsidP="005D47D3">
      <w:pPr>
        <w:pStyle w:val="ListParagraph"/>
        <w:numPr>
          <w:ilvl w:val="0"/>
          <w:numId w:val="4"/>
        </w:numPr>
      </w:pPr>
      <w:r>
        <w:t>Accounts are not the same</w:t>
      </w:r>
    </w:p>
    <w:p w14:paraId="603D361A" w14:textId="1D57174C" w:rsidR="00621088" w:rsidRDefault="00F22FFD" w:rsidP="00F22FFD">
      <w:pPr>
        <w:pStyle w:val="ListParagraph"/>
      </w:pPr>
      <w:r>
        <w:t>You</w:t>
      </w:r>
      <w:r w:rsidR="00621088" w:rsidRPr="00621088">
        <w:t xml:space="preserve"> must use a different mapping if the subsidiar</w:t>
      </w:r>
      <w:r w:rsidR="005E2302">
        <w:t>y</w:t>
      </w:r>
      <w:r w:rsidR="00621088" w:rsidRPr="00621088">
        <w:t xml:space="preserve"> ha</w:t>
      </w:r>
      <w:r w:rsidR="005E2302">
        <w:t>s</w:t>
      </w:r>
      <w:r w:rsidR="00621088" w:rsidRPr="00621088">
        <w:t xml:space="preserve"> the same chart of accounts of the main company. In that case, a revenue account of the COA must be mapped against an expense account of the IC COA and vice versa.</w:t>
      </w:r>
    </w:p>
    <w:p w14:paraId="2A2E61F3" w14:textId="185FBD4B" w:rsidR="00621088" w:rsidRDefault="00621088" w:rsidP="00400F24">
      <w:r w:rsidRPr="00621088">
        <w:rPr>
          <w:noProof/>
        </w:rPr>
        <w:drawing>
          <wp:inline distT="0" distB="0" distL="0" distR="0" wp14:anchorId="2BEDB61F" wp14:editId="59708EDD">
            <wp:extent cx="5753100" cy="3182620"/>
            <wp:effectExtent l="0" t="0" r="0" b="0"/>
            <wp:docPr id="1690180487" name="Picture 2" descr="Intercompany Chart of Accounts">
              <a:extLst xmlns:a="http://schemas.openxmlformats.org/drawingml/2006/main">
                <a:ext uri="{FF2B5EF4-FFF2-40B4-BE49-F238E27FC236}">
                  <a16:creationId xmlns:a16="http://schemas.microsoft.com/office/drawing/2014/main" id="{FAA979EF-260A-C505-D4C4-AADB9ABA90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ntercompany Chart of Accounts">
                      <a:extLst>
                        <a:ext uri="{FF2B5EF4-FFF2-40B4-BE49-F238E27FC236}">
                          <a16:creationId xmlns:a16="http://schemas.microsoft.com/office/drawing/2014/main" id="{FAA979EF-260A-C505-D4C4-AADB9ABA90D7}"/>
                        </a:ext>
                      </a:extLst>
                    </pic:cNvPr>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53100" cy="3182620"/>
                    </a:xfrm>
                    <a:prstGeom prst="rect">
                      <a:avLst/>
                    </a:prstGeom>
                    <a:noFill/>
                    <a:ln>
                      <a:noFill/>
                    </a:ln>
                  </pic:spPr>
                </pic:pic>
              </a:graphicData>
            </a:graphic>
          </wp:inline>
        </w:drawing>
      </w:r>
    </w:p>
    <w:p w14:paraId="28C5AC93" w14:textId="7F98CE26" w:rsidR="00621088" w:rsidRDefault="00621088" w:rsidP="00400F24">
      <w:r w:rsidRPr="00621088">
        <w:rPr>
          <w:noProof/>
        </w:rPr>
        <w:lastRenderedPageBreak/>
        <w:drawing>
          <wp:inline distT="0" distB="0" distL="0" distR="0" wp14:anchorId="24299559" wp14:editId="6A532F73">
            <wp:extent cx="5665232" cy="3191986"/>
            <wp:effectExtent l="0" t="0" r="0" b="8890"/>
            <wp:docPr id="1779799732" name="Picture 4" descr="Intercompany Chart of Accounts">
              <a:extLst xmlns:a="http://schemas.openxmlformats.org/drawingml/2006/main">
                <a:ext uri="{FF2B5EF4-FFF2-40B4-BE49-F238E27FC236}">
                  <a16:creationId xmlns:a16="http://schemas.microsoft.com/office/drawing/2014/main" id="{23ADA4BB-0AE4-7B84-0044-603BF31CB5F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tercompany Chart of Accounts">
                      <a:extLst>
                        <a:ext uri="{FF2B5EF4-FFF2-40B4-BE49-F238E27FC236}">
                          <a16:creationId xmlns:a16="http://schemas.microsoft.com/office/drawing/2014/main" id="{23ADA4BB-0AE4-7B84-0044-603BF31CB5FA}"/>
                        </a:ext>
                      </a:extLst>
                    </pic:cNvPr>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65232" cy="3191986"/>
                    </a:xfrm>
                    <a:prstGeom prst="rect">
                      <a:avLst/>
                    </a:prstGeom>
                    <a:noFill/>
                    <a:ln>
                      <a:noFill/>
                    </a:ln>
                  </pic:spPr>
                </pic:pic>
              </a:graphicData>
            </a:graphic>
          </wp:inline>
        </w:drawing>
      </w:r>
    </w:p>
    <w:p w14:paraId="6FA511CE" w14:textId="77777777" w:rsidR="00621088" w:rsidRDefault="00621088" w:rsidP="00621088">
      <w:r w:rsidRPr="00621088">
        <w:t>Intercompany Dimensions follows a similar logic to the Intercompany Chart of Accounts and consists of codes and values you can use to map dimensions when sending and receiving transactions between two companies in Business Central. The option to copy and map dimensions is also available, like with the IC chart of accounts.</w:t>
      </w:r>
    </w:p>
    <w:p w14:paraId="03C26773" w14:textId="7F877CC7" w:rsidR="00621088" w:rsidRDefault="00621088" w:rsidP="00400F24">
      <w:r w:rsidRPr="00621088">
        <w:rPr>
          <w:noProof/>
        </w:rPr>
        <w:drawing>
          <wp:inline distT="0" distB="0" distL="0" distR="0" wp14:anchorId="0BCADEE0" wp14:editId="791085B3">
            <wp:extent cx="5943600" cy="2748280"/>
            <wp:effectExtent l="0" t="0" r="0" b="0"/>
            <wp:docPr id="2010708634" name="Picture 1" descr="Intercompany Dimensions">
              <a:extLst xmlns:a="http://schemas.openxmlformats.org/drawingml/2006/main">
                <a:ext uri="{FF2B5EF4-FFF2-40B4-BE49-F238E27FC236}">
                  <a16:creationId xmlns:a16="http://schemas.microsoft.com/office/drawing/2014/main" id="{53199117-0F78-8BEE-8357-AAB1DD9BF88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tercompany Dimensions">
                      <a:extLst>
                        <a:ext uri="{FF2B5EF4-FFF2-40B4-BE49-F238E27FC236}">
                          <a16:creationId xmlns:a16="http://schemas.microsoft.com/office/drawing/2014/main" id="{53199117-0F78-8BEE-8357-AAB1DD9BF885}"/>
                        </a:ext>
                      </a:extLst>
                    </pic:cNvPr>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2748280"/>
                    </a:xfrm>
                    <a:prstGeom prst="rect">
                      <a:avLst/>
                    </a:prstGeom>
                    <a:noFill/>
                    <a:ln>
                      <a:noFill/>
                    </a:ln>
                  </pic:spPr>
                </pic:pic>
              </a:graphicData>
            </a:graphic>
          </wp:inline>
        </w:drawing>
      </w:r>
    </w:p>
    <w:p w14:paraId="3F59D7BB" w14:textId="77777777" w:rsidR="00621088" w:rsidRPr="00621088" w:rsidRDefault="00621088" w:rsidP="00621088">
      <w:r w:rsidRPr="00621088">
        <w:t>Like the chart of accounts and dimensions, intercompany bank accounts allow the mapping of bank accounts of the trading entities when posting intercompany payments. The IC bank accounts can be copied from the IC partner if the exchange type is Database.</w:t>
      </w:r>
    </w:p>
    <w:p w14:paraId="3359606F" w14:textId="021275F8" w:rsidR="00621088" w:rsidRDefault="00621088" w:rsidP="00400F24">
      <w:r w:rsidRPr="00621088">
        <w:rPr>
          <w:noProof/>
        </w:rPr>
        <w:lastRenderedPageBreak/>
        <w:drawing>
          <wp:inline distT="0" distB="0" distL="0" distR="0" wp14:anchorId="1944568E" wp14:editId="2E43CFBE">
            <wp:extent cx="5943600" cy="2232025"/>
            <wp:effectExtent l="0" t="0" r="0" b="0"/>
            <wp:docPr id="1484923502" name="Picture 1" descr="Intercompany Bank Account">
              <a:extLst xmlns:a="http://schemas.openxmlformats.org/drawingml/2006/main">
                <a:ext uri="{FF2B5EF4-FFF2-40B4-BE49-F238E27FC236}">
                  <a16:creationId xmlns:a16="http://schemas.microsoft.com/office/drawing/2014/main" id="{4A048FC5-0127-CE76-2C8A-165256085B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tercompany Bank Account">
                      <a:extLst>
                        <a:ext uri="{FF2B5EF4-FFF2-40B4-BE49-F238E27FC236}">
                          <a16:creationId xmlns:a16="http://schemas.microsoft.com/office/drawing/2014/main" id="{4A048FC5-0127-CE76-2C8A-165256085BA8}"/>
                        </a:ext>
                      </a:extLst>
                    </pic:cNvPr>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232025"/>
                    </a:xfrm>
                    <a:prstGeom prst="rect">
                      <a:avLst/>
                    </a:prstGeom>
                    <a:noFill/>
                    <a:ln>
                      <a:noFill/>
                    </a:ln>
                  </pic:spPr>
                </pic:pic>
              </a:graphicData>
            </a:graphic>
          </wp:inline>
        </w:drawing>
      </w:r>
    </w:p>
    <w:p w14:paraId="549F0DA6" w14:textId="77777777" w:rsidR="00FD5432" w:rsidRDefault="00FD5432" w:rsidP="00400F24"/>
    <w:p w14:paraId="3513B455" w14:textId="4874C011" w:rsidR="00621088" w:rsidRPr="00091BD1" w:rsidRDefault="00621088" w:rsidP="00091BD1">
      <w:pPr>
        <w:pStyle w:val="Heading2"/>
      </w:pPr>
      <w:bookmarkStart w:id="5" w:name="_Toc190097270"/>
      <w:r w:rsidRPr="00091BD1">
        <w:t>Intercompany Transactions</w:t>
      </w:r>
      <w:bookmarkEnd w:id="5"/>
    </w:p>
    <w:p w14:paraId="059137DE" w14:textId="4E24C753" w:rsidR="004E1C7D" w:rsidRDefault="00A80EBC" w:rsidP="004E1C7D">
      <w:r>
        <w:t xml:space="preserve">Transactions between companies are handled much like email boxes. </w:t>
      </w:r>
      <w:r w:rsidR="008F6EEC">
        <w:t xml:space="preserve">The sending company has </w:t>
      </w:r>
      <w:proofErr w:type="gramStart"/>
      <w:r w:rsidR="008F6EEC">
        <w:t>a</w:t>
      </w:r>
      <w:proofErr w:type="gramEnd"/>
      <w:r w:rsidR="008F6EEC">
        <w:t xml:space="preserve"> </w:t>
      </w:r>
      <w:r w:rsidR="003063FB">
        <w:t xml:space="preserve">Intercompany </w:t>
      </w:r>
      <w:r w:rsidR="008F6EEC">
        <w:t>Outbox and once processed</w:t>
      </w:r>
      <w:r w:rsidR="003063FB">
        <w:t xml:space="preserve"> or sent the transactions move to a Handled Intercompany Outbox.</w:t>
      </w:r>
      <w:r w:rsidR="00EB559A">
        <w:t xml:space="preserve"> This </w:t>
      </w:r>
      <w:r w:rsidR="009F4F06">
        <w:t>allows</w:t>
      </w:r>
      <w:r w:rsidR="00EB559A">
        <w:t xml:space="preserve"> users to manually send transactions. To automate the </w:t>
      </w:r>
      <w:r w:rsidR="009F4F06">
        <w:t>sending</w:t>
      </w:r>
      <w:r w:rsidR="00EB559A">
        <w:t xml:space="preserve"> of the transactions</w:t>
      </w:r>
      <w:r w:rsidR="00673CB0">
        <w:t>, the intercompany Setup provide</w:t>
      </w:r>
      <w:r w:rsidR="00D03B18">
        <w:t xml:space="preserve">s </w:t>
      </w:r>
      <w:proofErr w:type="gramStart"/>
      <w:r w:rsidR="00D03B18">
        <w:t>the Auto</w:t>
      </w:r>
      <w:proofErr w:type="gramEnd"/>
      <w:r w:rsidR="00D03B18">
        <w:t xml:space="preserve"> Send Transactions.</w:t>
      </w:r>
    </w:p>
    <w:p w14:paraId="63048559" w14:textId="62C29F91" w:rsidR="00D03B18" w:rsidRPr="004E1C7D" w:rsidRDefault="00D03B18" w:rsidP="004E1C7D">
      <w:r>
        <w:rPr>
          <w:noProof/>
        </w:rPr>
        <w:drawing>
          <wp:inline distT="0" distB="0" distL="0" distR="0" wp14:anchorId="5F707B41" wp14:editId="71E2AB68">
            <wp:extent cx="5730181" cy="1333500"/>
            <wp:effectExtent l="19050" t="19050" r="23495" b="19050"/>
            <wp:docPr id="660083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083552" name=""/>
                    <pic:cNvPicPr/>
                  </pic:nvPicPr>
                  <pic:blipFill>
                    <a:blip r:embed="rId19"/>
                    <a:stretch>
                      <a:fillRect/>
                    </a:stretch>
                  </pic:blipFill>
                  <pic:spPr>
                    <a:xfrm>
                      <a:off x="0" y="0"/>
                      <a:ext cx="5743204" cy="1336531"/>
                    </a:xfrm>
                    <a:prstGeom prst="rect">
                      <a:avLst/>
                    </a:prstGeom>
                    <a:ln>
                      <a:solidFill>
                        <a:schemeClr val="accent1"/>
                      </a:solidFill>
                    </a:ln>
                  </pic:spPr>
                </pic:pic>
              </a:graphicData>
            </a:graphic>
          </wp:inline>
        </w:drawing>
      </w:r>
    </w:p>
    <w:p w14:paraId="40B2C67A" w14:textId="77777777" w:rsidR="00621088" w:rsidRDefault="00621088" w:rsidP="00621088">
      <w:pPr>
        <w:pStyle w:val="Heading3"/>
      </w:pPr>
      <w:bookmarkStart w:id="6" w:name="_Toc190097271"/>
      <w:r w:rsidRPr="00621088">
        <w:t>Sales and Purchases</w:t>
      </w:r>
      <w:bookmarkEnd w:id="6"/>
    </w:p>
    <w:p w14:paraId="4FBEB0DC" w14:textId="77777777" w:rsidR="00621088" w:rsidRPr="00621088" w:rsidRDefault="00621088" w:rsidP="00621088">
      <w:r w:rsidRPr="00621088">
        <w:t>Business Central sends the intercompany transaction automatically when you post an invoice for an intercompany partner. The example below shows the confirmation message I received after posting a sales invoice for customer C-IT.</w:t>
      </w:r>
    </w:p>
    <w:p w14:paraId="6193C0B6" w14:textId="20B51FF4" w:rsidR="00621088" w:rsidRDefault="00621088" w:rsidP="00621088">
      <w:r w:rsidRPr="00621088">
        <w:t>The corresponding transaction in the receiving company will appear in the I</w:t>
      </w:r>
      <w:r w:rsidR="00394364">
        <w:t>ntercompany</w:t>
      </w:r>
      <w:r w:rsidRPr="00621088">
        <w:t xml:space="preserve"> inbox. Alternatively, you can set up to auto-accept inbound transactions. In my example, auto-accept is off. Therefore, I must open the Intercompany Inbox to find the purchase document.</w:t>
      </w:r>
    </w:p>
    <w:p w14:paraId="6DC3A29E" w14:textId="6C81E2AA" w:rsidR="00621088" w:rsidRPr="00621088" w:rsidRDefault="00621088" w:rsidP="00621088">
      <w:r w:rsidRPr="00621088">
        <w:rPr>
          <w:noProof/>
        </w:rPr>
        <w:lastRenderedPageBreak/>
        <w:drawing>
          <wp:inline distT="0" distB="0" distL="0" distR="0" wp14:anchorId="4DE1942F" wp14:editId="61FEB5CD">
            <wp:extent cx="5867814" cy="3603627"/>
            <wp:effectExtent l="0" t="0" r="0" b="0"/>
            <wp:docPr id="144375100" name="Picture 4" descr="Intercompany Transaction - Sales Invoice">
              <a:extLst xmlns:a="http://schemas.openxmlformats.org/drawingml/2006/main">
                <a:ext uri="{FF2B5EF4-FFF2-40B4-BE49-F238E27FC236}">
                  <a16:creationId xmlns:a16="http://schemas.microsoft.com/office/drawing/2014/main" id="{726205AF-BD83-C882-2263-6A813FEB2C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tercompany Transaction - Sales Invoice">
                      <a:extLst>
                        <a:ext uri="{FF2B5EF4-FFF2-40B4-BE49-F238E27FC236}">
                          <a16:creationId xmlns:a16="http://schemas.microsoft.com/office/drawing/2014/main" id="{726205AF-BD83-C882-2263-6A813FEB2CD4}"/>
                        </a:ext>
                      </a:extLst>
                    </pic:cNvPr>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67814" cy="3603627"/>
                    </a:xfrm>
                    <a:prstGeom prst="rect">
                      <a:avLst/>
                    </a:prstGeom>
                    <a:noFill/>
                    <a:ln>
                      <a:noFill/>
                    </a:ln>
                  </pic:spPr>
                </pic:pic>
              </a:graphicData>
            </a:graphic>
          </wp:inline>
        </w:drawing>
      </w:r>
    </w:p>
    <w:p w14:paraId="1B7D44E5" w14:textId="77777777" w:rsidR="00621088" w:rsidRPr="00621088" w:rsidRDefault="00621088" w:rsidP="00621088"/>
    <w:p w14:paraId="211F3851" w14:textId="77777777" w:rsidR="00621088" w:rsidRPr="00621088" w:rsidRDefault="00621088" w:rsidP="00621088">
      <w:r w:rsidRPr="00621088">
        <w:t xml:space="preserve">You can open the document and see all the details in the IC inbox before accepting, including the document lines and the dimensions. You can also cancel or return the transaction to the sender. </w:t>
      </w:r>
    </w:p>
    <w:p w14:paraId="1BFCB33C" w14:textId="412A3BB3" w:rsidR="00621088" w:rsidRDefault="00621088" w:rsidP="00621088">
      <w:r w:rsidRPr="00621088">
        <w:rPr>
          <w:noProof/>
        </w:rPr>
        <w:drawing>
          <wp:inline distT="0" distB="0" distL="0" distR="0" wp14:anchorId="0C4112CE" wp14:editId="25943BB6">
            <wp:extent cx="5943600" cy="2813685"/>
            <wp:effectExtent l="0" t="0" r="0" b="5715"/>
            <wp:docPr id="1912610543" name="Picture 1" descr="Intercompany Inbox">
              <a:extLst xmlns:a="http://schemas.openxmlformats.org/drawingml/2006/main">
                <a:ext uri="{FF2B5EF4-FFF2-40B4-BE49-F238E27FC236}">
                  <a16:creationId xmlns:a16="http://schemas.microsoft.com/office/drawing/2014/main" id="{D70E33C0-A2AA-7EC6-3A96-D303487D35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tercompany Inbox">
                      <a:extLst>
                        <a:ext uri="{FF2B5EF4-FFF2-40B4-BE49-F238E27FC236}">
                          <a16:creationId xmlns:a16="http://schemas.microsoft.com/office/drawing/2014/main" id="{D70E33C0-A2AA-7EC6-3A96-D303487D350D}"/>
                        </a:ext>
                      </a:extLst>
                    </pic:cNvPr>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2813685"/>
                    </a:xfrm>
                    <a:prstGeom prst="rect">
                      <a:avLst/>
                    </a:prstGeom>
                    <a:noFill/>
                    <a:ln>
                      <a:noFill/>
                    </a:ln>
                  </pic:spPr>
                </pic:pic>
              </a:graphicData>
            </a:graphic>
          </wp:inline>
        </w:drawing>
      </w:r>
    </w:p>
    <w:p w14:paraId="61443D25" w14:textId="77777777" w:rsidR="00621088" w:rsidRDefault="00621088" w:rsidP="00621088"/>
    <w:p w14:paraId="72138B0C" w14:textId="77777777" w:rsidR="00621088" w:rsidRPr="00621088" w:rsidRDefault="00621088" w:rsidP="00621088">
      <w:r w:rsidRPr="00621088">
        <w:t>After accepting the IC transaction, Business Central created the purchase invoice. The picture below shows the document created.</w:t>
      </w:r>
    </w:p>
    <w:p w14:paraId="18617890" w14:textId="2E7325C4" w:rsidR="00621088" w:rsidRDefault="00621088" w:rsidP="00621088">
      <w:r w:rsidRPr="00621088">
        <w:rPr>
          <w:noProof/>
        </w:rPr>
        <w:lastRenderedPageBreak/>
        <w:drawing>
          <wp:inline distT="0" distB="0" distL="0" distR="0" wp14:anchorId="127CAF5D" wp14:editId="79634E12">
            <wp:extent cx="5943600" cy="2670810"/>
            <wp:effectExtent l="0" t="0" r="0" b="0"/>
            <wp:docPr id="2023155900" name="Picture 2" descr="Intercompany Transaction - Purchase Invoice">
              <a:extLst xmlns:a="http://schemas.openxmlformats.org/drawingml/2006/main">
                <a:ext uri="{FF2B5EF4-FFF2-40B4-BE49-F238E27FC236}">
                  <a16:creationId xmlns:a16="http://schemas.microsoft.com/office/drawing/2014/main" id="{1ACE1242-696D-1EDC-15ED-10FCC469A2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ntercompany Transaction - Purchase Invoice">
                      <a:extLst>
                        <a:ext uri="{FF2B5EF4-FFF2-40B4-BE49-F238E27FC236}">
                          <a16:creationId xmlns:a16="http://schemas.microsoft.com/office/drawing/2014/main" id="{1ACE1242-696D-1EDC-15ED-10FCC469A245}"/>
                        </a:ext>
                      </a:extLst>
                    </pic:cNvPr>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2670810"/>
                    </a:xfrm>
                    <a:prstGeom prst="rect">
                      <a:avLst/>
                    </a:prstGeom>
                    <a:noFill/>
                    <a:ln>
                      <a:noFill/>
                    </a:ln>
                  </pic:spPr>
                </pic:pic>
              </a:graphicData>
            </a:graphic>
          </wp:inline>
        </w:drawing>
      </w:r>
    </w:p>
    <w:p w14:paraId="574C0BD9" w14:textId="77777777" w:rsidR="00394364" w:rsidRDefault="00394364" w:rsidP="00D911B5">
      <w:pPr>
        <w:pStyle w:val="NoSpacing"/>
      </w:pPr>
    </w:p>
    <w:p w14:paraId="7478B62F" w14:textId="5F97A2C3" w:rsidR="00621088" w:rsidRPr="00621088" w:rsidRDefault="00621088" w:rsidP="00621088">
      <w:r w:rsidRPr="00621088">
        <w:t xml:space="preserve">You can also use the IC inbox to upload files when the transfer type is not Database. As I explained before, Business Central allows the exchange of Intercompany Transactions as files via email or a shared folder. </w:t>
      </w:r>
    </w:p>
    <w:p w14:paraId="62C75B9D" w14:textId="1BBB2E71" w:rsidR="00621088" w:rsidRDefault="00621088" w:rsidP="00621088">
      <w:r w:rsidRPr="00621088">
        <w:rPr>
          <w:noProof/>
        </w:rPr>
        <w:drawing>
          <wp:inline distT="0" distB="0" distL="0" distR="0" wp14:anchorId="76F174C5" wp14:editId="0C18965B">
            <wp:extent cx="5943600" cy="2433320"/>
            <wp:effectExtent l="0" t="0" r="0" b="5080"/>
            <wp:docPr id="1056422542" name="Picture 1" descr="Intercompany Inbox">
              <a:extLst xmlns:a="http://schemas.openxmlformats.org/drawingml/2006/main">
                <a:ext uri="{FF2B5EF4-FFF2-40B4-BE49-F238E27FC236}">
                  <a16:creationId xmlns:a16="http://schemas.microsoft.com/office/drawing/2014/main" id="{53087274-730F-94B7-6C9C-E62F8E5ED4C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tercompany Inbox">
                      <a:extLst>
                        <a:ext uri="{FF2B5EF4-FFF2-40B4-BE49-F238E27FC236}">
                          <a16:creationId xmlns:a16="http://schemas.microsoft.com/office/drawing/2014/main" id="{53087274-730F-94B7-6C9C-E62F8E5ED4CB}"/>
                        </a:ext>
                      </a:extLst>
                    </pic:cNvPr>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433320"/>
                    </a:xfrm>
                    <a:prstGeom prst="rect">
                      <a:avLst/>
                    </a:prstGeom>
                    <a:noFill/>
                    <a:ln>
                      <a:noFill/>
                    </a:ln>
                  </pic:spPr>
                </pic:pic>
              </a:graphicData>
            </a:graphic>
          </wp:inline>
        </w:drawing>
      </w:r>
    </w:p>
    <w:p w14:paraId="483B51CE" w14:textId="77777777" w:rsidR="002B5A73" w:rsidRDefault="002B5A73" w:rsidP="00621088">
      <w:pPr>
        <w:rPr>
          <w:b/>
          <w:bCs/>
        </w:rPr>
      </w:pPr>
    </w:p>
    <w:p w14:paraId="51C1ABBB" w14:textId="0B835407" w:rsidR="00621088" w:rsidRPr="00621088" w:rsidRDefault="00621088" w:rsidP="00621088">
      <w:r w:rsidRPr="00621088">
        <w:rPr>
          <w:b/>
          <w:bCs/>
        </w:rPr>
        <w:t>Orders</w:t>
      </w:r>
    </w:p>
    <w:p w14:paraId="0DE61927" w14:textId="5BB24744" w:rsidR="00621088" w:rsidRDefault="00621088" w:rsidP="00621088">
      <w:r w:rsidRPr="00621088">
        <w:t xml:space="preserve">You can send orders as IC transactions </w:t>
      </w:r>
      <w:r w:rsidR="00AE4339" w:rsidRPr="00621088">
        <w:t>to</w:t>
      </w:r>
      <w:r w:rsidRPr="00621088">
        <w:t xml:space="preserve"> Business Central; this process requires </w:t>
      </w:r>
      <w:proofErr w:type="gramStart"/>
      <w:r w:rsidRPr="00621088">
        <w:t>the</w:t>
      </w:r>
      <w:proofErr w:type="gramEnd"/>
      <w:r w:rsidRPr="00621088">
        <w:t xml:space="preserve"> additional step of sending the transaction using the dedicated action on the document menu.</w:t>
      </w:r>
    </w:p>
    <w:p w14:paraId="7B2AD90C" w14:textId="77777777" w:rsidR="00D911B5" w:rsidRPr="00621088" w:rsidRDefault="00D911B5" w:rsidP="00621088"/>
    <w:p w14:paraId="230AFD29" w14:textId="4A96ABB9" w:rsidR="00621088" w:rsidRDefault="00621088" w:rsidP="00621088">
      <w:r w:rsidRPr="00621088">
        <w:rPr>
          <w:noProof/>
        </w:rPr>
        <w:lastRenderedPageBreak/>
        <w:drawing>
          <wp:inline distT="0" distB="0" distL="0" distR="0" wp14:anchorId="1146B08D" wp14:editId="38A215A8">
            <wp:extent cx="5943600" cy="2730500"/>
            <wp:effectExtent l="0" t="0" r="0" b="0"/>
            <wp:docPr id="2081574529" name="Picture 1" descr="Purchase Order">
              <a:extLst xmlns:a="http://schemas.openxmlformats.org/drawingml/2006/main">
                <a:ext uri="{FF2B5EF4-FFF2-40B4-BE49-F238E27FC236}">
                  <a16:creationId xmlns:a16="http://schemas.microsoft.com/office/drawing/2014/main" id="{53956B88-9BF9-FF7B-F3DD-BA86F71C31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Purchase Order">
                      <a:extLst>
                        <a:ext uri="{FF2B5EF4-FFF2-40B4-BE49-F238E27FC236}">
                          <a16:creationId xmlns:a16="http://schemas.microsoft.com/office/drawing/2014/main" id="{53956B88-9BF9-FF7B-F3DD-BA86F71C3167}"/>
                        </a:ext>
                      </a:extLst>
                    </pic:cNvPr>
                    <pic:cNvPicPr>
                      <a:picLocks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730500"/>
                    </a:xfrm>
                    <a:prstGeom prst="rect">
                      <a:avLst/>
                    </a:prstGeom>
                    <a:noFill/>
                    <a:ln>
                      <a:noFill/>
                    </a:ln>
                  </pic:spPr>
                </pic:pic>
              </a:graphicData>
            </a:graphic>
          </wp:inline>
        </w:drawing>
      </w:r>
    </w:p>
    <w:p w14:paraId="5CE5A656" w14:textId="044C8DD2" w:rsidR="00621088" w:rsidRPr="00621088" w:rsidRDefault="00621088" w:rsidP="00621088">
      <w:r w:rsidRPr="00621088">
        <w:rPr>
          <w:noProof/>
        </w:rPr>
        <w:drawing>
          <wp:inline distT="0" distB="0" distL="0" distR="0" wp14:anchorId="07E975ED" wp14:editId="0E594C28">
            <wp:extent cx="5943600" cy="3182620"/>
            <wp:effectExtent l="0" t="0" r="0" b="0"/>
            <wp:docPr id="1168443491" name="Picture 1" descr="Intercompany Transaction - Purchase Order">
              <a:extLst xmlns:a="http://schemas.openxmlformats.org/drawingml/2006/main">
                <a:ext uri="{FF2B5EF4-FFF2-40B4-BE49-F238E27FC236}">
                  <a16:creationId xmlns:a16="http://schemas.microsoft.com/office/drawing/2014/main" id="{3BF0496E-5A26-9453-15FF-78646FA9D6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tercompany Transaction - Purchase Order">
                      <a:extLst>
                        <a:ext uri="{FF2B5EF4-FFF2-40B4-BE49-F238E27FC236}">
                          <a16:creationId xmlns:a16="http://schemas.microsoft.com/office/drawing/2014/main" id="{3BF0496E-5A26-9453-15FF-78646FA9D6E8}"/>
                        </a:ext>
                      </a:extLst>
                    </pic:cNvPr>
                    <pic:cNvPicPr>
                      <a:picLocks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82620"/>
                    </a:xfrm>
                    <a:prstGeom prst="rect">
                      <a:avLst/>
                    </a:prstGeom>
                    <a:noFill/>
                    <a:ln>
                      <a:noFill/>
                    </a:ln>
                  </pic:spPr>
                </pic:pic>
              </a:graphicData>
            </a:graphic>
          </wp:inline>
        </w:drawing>
      </w:r>
    </w:p>
    <w:p w14:paraId="33248EB1" w14:textId="77777777" w:rsidR="00621088" w:rsidRDefault="00621088" w:rsidP="00621088">
      <w:r w:rsidRPr="00621088">
        <w:rPr>
          <w:b/>
          <w:bCs/>
        </w:rPr>
        <w:t>NOTE</w:t>
      </w:r>
      <w:r w:rsidRPr="00621088">
        <w:t xml:space="preserve">: You must disable auto-send IC transactions when working with intercompany orders because Business Central will always create a new IC transaction when you post an invoice from the order. Consequently, you will end up with an order and an invoice for the same document. </w:t>
      </w:r>
    </w:p>
    <w:p w14:paraId="48B1219D" w14:textId="77777777" w:rsidR="00622A91" w:rsidRPr="00621088" w:rsidRDefault="00622A91" w:rsidP="00621088"/>
    <w:p w14:paraId="65B6FEA0" w14:textId="664FBD21" w:rsidR="00400F24" w:rsidRDefault="00621088" w:rsidP="00400F24">
      <w:r w:rsidRPr="00621088">
        <w:rPr>
          <w:noProof/>
        </w:rPr>
        <w:lastRenderedPageBreak/>
        <w:drawing>
          <wp:inline distT="0" distB="0" distL="0" distR="0" wp14:anchorId="1C177CD9" wp14:editId="52019B01">
            <wp:extent cx="5943600" cy="2933700"/>
            <wp:effectExtent l="0" t="0" r="0" b="0"/>
            <wp:docPr id="1741766373" name="Picture 2" descr="Intercompany Outbox">
              <a:extLst xmlns:a="http://schemas.openxmlformats.org/drawingml/2006/main">
                <a:ext uri="{FF2B5EF4-FFF2-40B4-BE49-F238E27FC236}">
                  <a16:creationId xmlns:a16="http://schemas.microsoft.com/office/drawing/2014/main" id="{8AFAA646-909E-4C41-F201-69E77AC36FD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ntercompany Outbox">
                      <a:extLst>
                        <a:ext uri="{FF2B5EF4-FFF2-40B4-BE49-F238E27FC236}">
                          <a16:creationId xmlns:a16="http://schemas.microsoft.com/office/drawing/2014/main" id="{8AFAA646-909E-4C41-F201-69E77AC36FD9}"/>
                        </a:ext>
                      </a:extLst>
                    </pic:cNvPr>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933700"/>
                    </a:xfrm>
                    <a:prstGeom prst="rect">
                      <a:avLst/>
                    </a:prstGeom>
                    <a:noFill/>
                    <a:ln>
                      <a:noFill/>
                    </a:ln>
                  </pic:spPr>
                </pic:pic>
              </a:graphicData>
            </a:graphic>
          </wp:inline>
        </w:drawing>
      </w:r>
    </w:p>
    <w:p w14:paraId="3A44322A" w14:textId="77777777" w:rsidR="00621088" w:rsidRDefault="00621088" w:rsidP="00400F24"/>
    <w:p w14:paraId="2073FDB9" w14:textId="77777777" w:rsidR="00621088" w:rsidRPr="00621088" w:rsidRDefault="00621088" w:rsidP="00621088">
      <w:pPr>
        <w:pStyle w:val="Heading3"/>
      </w:pPr>
      <w:bookmarkStart w:id="7" w:name="_Toc190097272"/>
      <w:r w:rsidRPr="00621088">
        <w:t>Intercompany General Journals</w:t>
      </w:r>
      <w:bookmarkEnd w:id="7"/>
    </w:p>
    <w:p w14:paraId="41211BC2" w14:textId="77777777" w:rsidR="00621088" w:rsidRPr="00621088" w:rsidRDefault="00621088" w:rsidP="00621088">
      <w:r w:rsidRPr="00621088">
        <w:t>You can use journals to post intercompany transactions in Business Central by using Intercompany General Journal. This journal type is an extended general journal that includes additional fields. Below is an example:</w:t>
      </w:r>
    </w:p>
    <w:p w14:paraId="4767C26E" w14:textId="39411781" w:rsidR="00621088" w:rsidRDefault="00621088" w:rsidP="00400F24">
      <w:r w:rsidRPr="00621088">
        <w:rPr>
          <w:noProof/>
        </w:rPr>
        <w:drawing>
          <wp:inline distT="0" distB="0" distL="0" distR="0" wp14:anchorId="112F8C67" wp14:editId="118DE275">
            <wp:extent cx="5943600" cy="1688465"/>
            <wp:effectExtent l="0" t="0" r="0" b="6985"/>
            <wp:docPr id="1050370208" name="Picture 1" descr="Intercompany General Journal">
              <a:extLst xmlns:a="http://schemas.openxmlformats.org/drawingml/2006/main">
                <a:ext uri="{FF2B5EF4-FFF2-40B4-BE49-F238E27FC236}">
                  <a16:creationId xmlns:a16="http://schemas.microsoft.com/office/drawing/2014/main" id="{7E370F22-D27E-0DDA-035B-F07EE0E9938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Intercompany General Journal">
                      <a:extLst>
                        <a:ext uri="{FF2B5EF4-FFF2-40B4-BE49-F238E27FC236}">
                          <a16:creationId xmlns:a16="http://schemas.microsoft.com/office/drawing/2014/main" id="{7E370F22-D27E-0DDA-035B-F07EE0E9938C}"/>
                        </a:ext>
                      </a:extLst>
                    </pic:cNvPr>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1688465"/>
                    </a:xfrm>
                    <a:prstGeom prst="rect">
                      <a:avLst/>
                    </a:prstGeom>
                    <a:noFill/>
                    <a:ln>
                      <a:noFill/>
                    </a:ln>
                  </pic:spPr>
                </pic:pic>
              </a:graphicData>
            </a:graphic>
          </wp:inline>
        </w:drawing>
      </w:r>
    </w:p>
    <w:p w14:paraId="0B300087" w14:textId="77777777" w:rsidR="00621088" w:rsidRDefault="00621088" w:rsidP="00400F24"/>
    <w:p w14:paraId="5CA1BBEB" w14:textId="77777777" w:rsidR="00621088" w:rsidRPr="00621088" w:rsidRDefault="00621088" w:rsidP="00621088">
      <w:r w:rsidRPr="00621088">
        <w:t>The account type of the journal above is an IC partner so I could select partner C-IT in the next field. I chose the Management Fees Revenue as the Balancing Account No. and the IC Account No was added automatically because it's linked to account 10320 via the Intercompany Chart of Accounts.</w:t>
      </w:r>
    </w:p>
    <w:p w14:paraId="6E8003D2" w14:textId="77777777" w:rsidR="00621088" w:rsidRPr="00621088" w:rsidRDefault="00621088" w:rsidP="00621088">
      <w:r w:rsidRPr="00621088">
        <w:t xml:space="preserve">Posting the journal credited Management Fees and debited Intercompany Receivables. </w:t>
      </w:r>
    </w:p>
    <w:p w14:paraId="10498AF1" w14:textId="05BEA7E6" w:rsidR="00621088" w:rsidRPr="00400F24" w:rsidRDefault="00621088" w:rsidP="00400F24">
      <w:r w:rsidRPr="00621088">
        <w:rPr>
          <w:noProof/>
        </w:rPr>
        <w:lastRenderedPageBreak/>
        <w:drawing>
          <wp:inline distT="0" distB="0" distL="0" distR="0" wp14:anchorId="7E3BDB1F" wp14:editId="630B2834">
            <wp:extent cx="5943600" cy="2851150"/>
            <wp:effectExtent l="0" t="0" r="0" b="6350"/>
            <wp:docPr id="1919117858" name="Picture 2" descr="Intercompany Transaction - Journal posting preview">
              <a:extLst xmlns:a="http://schemas.openxmlformats.org/drawingml/2006/main">
                <a:ext uri="{FF2B5EF4-FFF2-40B4-BE49-F238E27FC236}">
                  <a16:creationId xmlns:a16="http://schemas.microsoft.com/office/drawing/2014/main" id="{333DE1E4-6151-0C2B-D06F-EA840D83EA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ntercompany Transaction - Journal posting preview">
                      <a:extLst>
                        <a:ext uri="{FF2B5EF4-FFF2-40B4-BE49-F238E27FC236}">
                          <a16:creationId xmlns:a16="http://schemas.microsoft.com/office/drawing/2014/main" id="{333DE1E4-6151-0C2B-D06F-EA840D83EA4A}"/>
                        </a:ext>
                      </a:extLst>
                    </pic:cNvPr>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851150"/>
                    </a:xfrm>
                    <a:prstGeom prst="rect">
                      <a:avLst/>
                    </a:prstGeom>
                    <a:noFill/>
                    <a:ln>
                      <a:noFill/>
                    </a:ln>
                  </pic:spPr>
                </pic:pic>
              </a:graphicData>
            </a:graphic>
          </wp:inline>
        </w:drawing>
      </w:r>
    </w:p>
    <w:p w14:paraId="104907A2" w14:textId="77777777" w:rsidR="00621088" w:rsidRPr="00621088" w:rsidRDefault="00621088" w:rsidP="00621088">
      <w:pPr>
        <w:pStyle w:val="NoSpacing"/>
      </w:pPr>
      <w:r w:rsidRPr="00621088">
        <w:t>By posting this journal, Business Central created an IC transaction</w:t>
      </w:r>
    </w:p>
    <w:p w14:paraId="19B31E7B" w14:textId="0A5DBE8E" w:rsidR="00400F24" w:rsidRDefault="00621088" w:rsidP="00400F24">
      <w:pPr>
        <w:pStyle w:val="NoSpacing"/>
      </w:pPr>
      <w:r w:rsidRPr="00621088">
        <w:rPr>
          <w:noProof/>
        </w:rPr>
        <w:drawing>
          <wp:inline distT="0" distB="0" distL="0" distR="0" wp14:anchorId="4963FA9E" wp14:editId="21A1D113">
            <wp:extent cx="5943600" cy="3060065"/>
            <wp:effectExtent l="0" t="0" r="0" b="6985"/>
            <wp:docPr id="553699267" name="Picture 4" descr="Intercompany Transaction - General Journal">
              <a:extLst xmlns:a="http://schemas.openxmlformats.org/drawingml/2006/main">
                <a:ext uri="{FF2B5EF4-FFF2-40B4-BE49-F238E27FC236}">
                  <a16:creationId xmlns:a16="http://schemas.microsoft.com/office/drawing/2014/main" id="{9F6F1CDD-2BB3-3EC4-583F-FECF1820E6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Intercompany Transaction - General Journal">
                      <a:extLst>
                        <a:ext uri="{FF2B5EF4-FFF2-40B4-BE49-F238E27FC236}">
                          <a16:creationId xmlns:a16="http://schemas.microsoft.com/office/drawing/2014/main" id="{9F6F1CDD-2BB3-3EC4-583F-FECF1820E650}"/>
                        </a:ext>
                      </a:extLst>
                    </pic:cNvPr>
                    <pic:cNvPicPr>
                      <a:picLocks noChangeAspect="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3060065"/>
                    </a:xfrm>
                    <a:prstGeom prst="rect">
                      <a:avLst/>
                    </a:prstGeom>
                    <a:noFill/>
                    <a:ln>
                      <a:noFill/>
                    </a:ln>
                  </pic:spPr>
                </pic:pic>
              </a:graphicData>
            </a:graphic>
          </wp:inline>
        </w:drawing>
      </w:r>
    </w:p>
    <w:p w14:paraId="68E2B46A" w14:textId="77777777" w:rsidR="00621088" w:rsidRDefault="00621088" w:rsidP="00400F24">
      <w:pPr>
        <w:pStyle w:val="NoSpacing"/>
      </w:pPr>
    </w:p>
    <w:p w14:paraId="0B7BBA13" w14:textId="4C8EE039" w:rsidR="005D7F34" w:rsidRDefault="00FA1850" w:rsidP="00FA1850">
      <w:pPr>
        <w:pStyle w:val="Heading3"/>
      </w:pPr>
      <w:bookmarkStart w:id="8" w:name="_Toc190097273"/>
      <w:r>
        <w:t>Receiving Company</w:t>
      </w:r>
      <w:bookmarkEnd w:id="8"/>
    </w:p>
    <w:p w14:paraId="58A5C580" w14:textId="77777777" w:rsidR="00FA1850" w:rsidRDefault="00FA1850" w:rsidP="00FA1850">
      <w:pPr>
        <w:pStyle w:val="NoSpacing"/>
      </w:pPr>
    </w:p>
    <w:p w14:paraId="78F79252" w14:textId="77777777" w:rsidR="001C11CA" w:rsidRDefault="00FA1850" w:rsidP="00FA1850">
      <w:r>
        <w:t>It is always up to the Receiving Company to process their transactions.</w:t>
      </w:r>
      <w:r w:rsidR="001C11CA">
        <w:t xml:space="preserve"> </w:t>
      </w:r>
    </w:p>
    <w:p w14:paraId="319BECB7" w14:textId="1291A870" w:rsidR="00FA1850" w:rsidRDefault="001C11CA" w:rsidP="001C11CA">
      <w:pPr>
        <w:ind w:firstLine="720"/>
      </w:pPr>
      <w:r>
        <w:t>Shipping and invoicing sales orders</w:t>
      </w:r>
    </w:p>
    <w:p w14:paraId="64108142" w14:textId="652BC4BC" w:rsidR="001C11CA" w:rsidRDefault="001C11CA" w:rsidP="001C11CA">
      <w:pPr>
        <w:ind w:firstLine="720"/>
      </w:pPr>
      <w:r>
        <w:t>Receiving and invoicing purchase orders</w:t>
      </w:r>
    </w:p>
    <w:p w14:paraId="0DF35F9A" w14:textId="0E10E6EE" w:rsidR="001C11CA" w:rsidRDefault="001C11CA" w:rsidP="001C11CA">
      <w:pPr>
        <w:ind w:firstLine="720"/>
      </w:pPr>
      <w:r>
        <w:t>Posting intercompany general journals</w:t>
      </w:r>
    </w:p>
    <w:p w14:paraId="07A0E975" w14:textId="60B0B7EF" w:rsidR="00026974" w:rsidRDefault="00026974" w:rsidP="00026974">
      <w:r>
        <w:lastRenderedPageBreak/>
        <w:t>Auto Send will do the data entry, but manual intervention is still required to review, approve and post.</w:t>
      </w:r>
    </w:p>
    <w:p w14:paraId="12D050A9" w14:textId="08E54555" w:rsidR="00026974" w:rsidRDefault="00211FF1" w:rsidP="00026974">
      <w:r>
        <w:t xml:space="preserve">There are </w:t>
      </w:r>
      <w:r w:rsidR="00AE4339">
        <w:t>several</w:t>
      </w:r>
      <w:r>
        <w:t xml:space="preserve"> </w:t>
      </w:r>
      <w:r w:rsidR="00AE4339">
        <w:t>setups,</w:t>
      </w:r>
      <w:r>
        <w:t xml:space="preserve"> but they are </w:t>
      </w:r>
      <w:proofErr w:type="gramStart"/>
      <w:r>
        <w:t>fairly straightforward</w:t>
      </w:r>
      <w:proofErr w:type="gramEnd"/>
      <w:r>
        <w:t xml:space="preserve"> and once setup</w:t>
      </w:r>
      <w:r w:rsidR="00B91830">
        <w:t xml:space="preserve">, maintenance is minimal. Even adding another company is quick. The REAL gain is </w:t>
      </w:r>
      <w:r w:rsidR="00AE4339">
        <w:t>the reduction</w:t>
      </w:r>
      <w:r w:rsidR="00B91830">
        <w:t xml:space="preserve"> of duplicated efforts. Enter one time and data flows between the companies</w:t>
      </w:r>
      <w:r w:rsidR="00102C22">
        <w:t>. And you have two complete companies.</w:t>
      </w:r>
    </w:p>
    <w:p w14:paraId="39FCC50A" w14:textId="176E0CEB" w:rsidR="00102C22" w:rsidRPr="00FA1850" w:rsidRDefault="00102C22" w:rsidP="00026974">
      <w:r>
        <w:t>Now go check out Consolidations!!</w:t>
      </w:r>
    </w:p>
    <w:sectPr w:rsidR="00102C22" w:rsidRPr="00FA185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64689"/>
    <w:multiLevelType w:val="hybridMultilevel"/>
    <w:tmpl w:val="78721582"/>
    <w:lvl w:ilvl="0" w:tplc="6200F5C8">
      <w:start w:val="1"/>
      <w:numFmt w:val="bullet"/>
      <w:lvlText w:val="•"/>
      <w:lvlJc w:val="left"/>
      <w:pPr>
        <w:tabs>
          <w:tab w:val="num" w:pos="720"/>
        </w:tabs>
        <w:ind w:left="720" w:hanging="360"/>
      </w:pPr>
      <w:rPr>
        <w:rFonts w:ascii="Arial" w:hAnsi="Arial" w:hint="default"/>
      </w:rPr>
    </w:lvl>
    <w:lvl w:ilvl="1" w:tplc="9C9474B4">
      <w:numFmt w:val="bullet"/>
      <w:lvlText w:val="•"/>
      <w:lvlJc w:val="left"/>
      <w:pPr>
        <w:tabs>
          <w:tab w:val="num" w:pos="1440"/>
        </w:tabs>
        <w:ind w:left="1440" w:hanging="360"/>
      </w:pPr>
      <w:rPr>
        <w:rFonts w:ascii="Arial" w:hAnsi="Arial" w:hint="default"/>
      </w:rPr>
    </w:lvl>
    <w:lvl w:ilvl="2" w:tplc="89A6393A" w:tentative="1">
      <w:start w:val="1"/>
      <w:numFmt w:val="bullet"/>
      <w:lvlText w:val="•"/>
      <w:lvlJc w:val="left"/>
      <w:pPr>
        <w:tabs>
          <w:tab w:val="num" w:pos="2160"/>
        </w:tabs>
        <w:ind w:left="2160" w:hanging="360"/>
      </w:pPr>
      <w:rPr>
        <w:rFonts w:ascii="Arial" w:hAnsi="Arial" w:hint="default"/>
      </w:rPr>
    </w:lvl>
    <w:lvl w:ilvl="3" w:tplc="D7D49FAA" w:tentative="1">
      <w:start w:val="1"/>
      <w:numFmt w:val="bullet"/>
      <w:lvlText w:val="•"/>
      <w:lvlJc w:val="left"/>
      <w:pPr>
        <w:tabs>
          <w:tab w:val="num" w:pos="2880"/>
        </w:tabs>
        <w:ind w:left="2880" w:hanging="360"/>
      </w:pPr>
      <w:rPr>
        <w:rFonts w:ascii="Arial" w:hAnsi="Arial" w:hint="default"/>
      </w:rPr>
    </w:lvl>
    <w:lvl w:ilvl="4" w:tplc="E196BA34" w:tentative="1">
      <w:start w:val="1"/>
      <w:numFmt w:val="bullet"/>
      <w:lvlText w:val="•"/>
      <w:lvlJc w:val="left"/>
      <w:pPr>
        <w:tabs>
          <w:tab w:val="num" w:pos="3600"/>
        </w:tabs>
        <w:ind w:left="3600" w:hanging="360"/>
      </w:pPr>
      <w:rPr>
        <w:rFonts w:ascii="Arial" w:hAnsi="Arial" w:hint="default"/>
      </w:rPr>
    </w:lvl>
    <w:lvl w:ilvl="5" w:tplc="0E565D9C" w:tentative="1">
      <w:start w:val="1"/>
      <w:numFmt w:val="bullet"/>
      <w:lvlText w:val="•"/>
      <w:lvlJc w:val="left"/>
      <w:pPr>
        <w:tabs>
          <w:tab w:val="num" w:pos="4320"/>
        </w:tabs>
        <w:ind w:left="4320" w:hanging="360"/>
      </w:pPr>
      <w:rPr>
        <w:rFonts w:ascii="Arial" w:hAnsi="Arial" w:hint="default"/>
      </w:rPr>
    </w:lvl>
    <w:lvl w:ilvl="6" w:tplc="8A94CD42" w:tentative="1">
      <w:start w:val="1"/>
      <w:numFmt w:val="bullet"/>
      <w:lvlText w:val="•"/>
      <w:lvlJc w:val="left"/>
      <w:pPr>
        <w:tabs>
          <w:tab w:val="num" w:pos="5040"/>
        </w:tabs>
        <w:ind w:left="5040" w:hanging="360"/>
      </w:pPr>
      <w:rPr>
        <w:rFonts w:ascii="Arial" w:hAnsi="Arial" w:hint="default"/>
      </w:rPr>
    </w:lvl>
    <w:lvl w:ilvl="7" w:tplc="E1FABBD4" w:tentative="1">
      <w:start w:val="1"/>
      <w:numFmt w:val="bullet"/>
      <w:lvlText w:val="•"/>
      <w:lvlJc w:val="left"/>
      <w:pPr>
        <w:tabs>
          <w:tab w:val="num" w:pos="5760"/>
        </w:tabs>
        <w:ind w:left="5760" w:hanging="360"/>
      </w:pPr>
      <w:rPr>
        <w:rFonts w:ascii="Arial" w:hAnsi="Arial" w:hint="default"/>
      </w:rPr>
    </w:lvl>
    <w:lvl w:ilvl="8" w:tplc="58DC6C0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47026DEC"/>
    <w:multiLevelType w:val="hybridMultilevel"/>
    <w:tmpl w:val="91480B36"/>
    <w:lvl w:ilvl="0" w:tplc="8DB8680C">
      <w:start w:val="1"/>
      <w:numFmt w:val="bullet"/>
      <w:lvlText w:val="•"/>
      <w:lvlJc w:val="left"/>
      <w:pPr>
        <w:tabs>
          <w:tab w:val="num" w:pos="720"/>
        </w:tabs>
        <w:ind w:left="720" w:hanging="360"/>
      </w:pPr>
      <w:rPr>
        <w:rFonts w:ascii="Arial" w:hAnsi="Arial" w:hint="default"/>
      </w:rPr>
    </w:lvl>
    <w:lvl w:ilvl="1" w:tplc="FD16C678">
      <w:numFmt w:val="bullet"/>
      <w:lvlText w:val="•"/>
      <w:lvlJc w:val="left"/>
      <w:pPr>
        <w:tabs>
          <w:tab w:val="num" w:pos="1440"/>
        </w:tabs>
        <w:ind w:left="1440" w:hanging="360"/>
      </w:pPr>
      <w:rPr>
        <w:rFonts w:ascii="Arial" w:hAnsi="Arial" w:hint="default"/>
      </w:rPr>
    </w:lvl>
    <w:lvl w:ilvl="2" w:tplc="916EC3D0" w:tentative="1">
      <w:start w:val="1"/>
      <w:numFmt w:val="bullet"/>
      <w:lvlText w:val="•"/>
      <w:lvlJc w:val="left"/>
      <w:pPr>
        <w:tabs>
          <w:tab w:val="num" w:pos="2160"/>
        </w:tabs>
        <w:ind w:left="2160" w:hanging="360"/>
      </w:pPr>
      <w:rPr>
        <w:rFonts w:ascii="Arial" w:hAnsi="Arial" w:hint="default"/>
      </w:rPr>
    </w:lvl>
    <w:lvl w:ilvl="3" w:tplc="9CE483A6" w:tentative="1">
      <w:start w:val="1"/>
      <w:numFmt w:val="bullet"/>
      <w:lvlText w:val="•"/>
      <w:lvlJc w:val="left"/>
      <w:pPr>
        <w:tabs>
          <w:tab w:val="num" w:pos="2880"/>
        </w:tabs>
        <w:ind w:left="2880" w:hanging="360"/>
      </w:pPr>
      <w:rPr>
        <w:rFonts w:ascii="Arial" w:hAnsi="Arial" w:hint="default"/>
      </w:rPr>
    </w:lvl>
    <w:lvl w:ilvl="4" w:tplc="F2507A36" w:tentative="1">
      <w:start w:val="1"/>
      <w:numFmt w:val="bullet"/>
      <w:lvlText w:val="•"/>
      <w:lvlJc w:val="left"/>
      <w:pPr>
        <w:tabs>
          <w:tab w:val="num" w:pos="3600"/>
        </w:tabs>
        <w:ind w:left="3600" w:hanging="360"/>
      </w:pPr>
      <w:rPr>
        <w:rFonts w:ascii="Arial" w:hAnsi="Arial" w:hint="default"/>
      </w:rPr>
    </w:lvl>
    <w:lvl w:ilvl="5" w:tplc="D890840A" w:tentative="1">
      <w:start w:val="1"/>
      <w:numFmt w:val="bullet"/>
      <w:lvlText w:val="•"/>
      <w:lvlJc w:val="left"/>
      <w:pPr>
        <w:tabs>
          <w:tab w:val="num" w:pos="4320"/>
        </w:tabs>
        <w:ind w:left="4320" w:hanging="360"/>
      </w:pPr>
      <w:rPr>
        <w:rFonts w:ascii="Arial" w:hAnsi="Arial" w:hint="default"/>
      </w:rPr>
    </w:lvl>
    <w:lvl w:ilvl="6" w:tplc="E6B0979C" w:tentative="1">
      <w:start w:val="1"/>
      <w:numFmt w:val="bullet"/>
      <w:lvlText w:val="•"/>
      <w:lvlJc w:val="left"/>
      <w:pPr>
        <w:tabs>
          <w:tab w:val="num" w:pos="5040"/>
        </w:tabs>
        <w:ind w:left="5040" w:hanging="360"/>
      </w:pPr>
      <w:rPr>
        <w:rFonts w:ascii="Arial" w:hAnsi="Arial" w:hint="default"/>
      </w:rPr>
    </w:lvl>
    <w:lvl w:ilvl="7" w:tplc="D550D568" w:tentative="1">
      <w:start w:val="1"/>
      <w:numFmt w:val="bullet"/>
      <w:lvlText w:val="•"/>
      <w:lvlJc w:val="left"/>
      <w:pPr>
        <w:tabs>
          <w:tab w:val="num" w:pos="5760"/>
        </w:tabs>
        <w:ind w:left="5760" w:hanging="360"/>
      </w:pPr>
      <w:rPr>
        <w:rFonts w:ascii="Arial" w:hAnsi="Arial" w:hint="default"/>
      </w:rPr>
    </w:lvl>
    <w:lvl w:ilvl="8" w:tplc="8BEA2AD8"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4CDD087C"/>
    <w:multiLevelType w:val="hybridMultilevel"/>
    <w:tmpl w:val="DEE4735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7F0159D"/>
    <w:multiLevelType w:val="hybridMultilevel"/>
    <w:tmpl w:val="D0C6D736"/>
    <w:lvl w:ilvl="0" w:tplc="CD049E2E">
      <w:start w:val="1"/>
      <w:numFmt w:val="bullet"/>
      <w:lvlText w:val="•"/>
      <w:lvlJc w:val="left"/>
      <w:pPr>
        <w:tabs>
          <w:tab w:val="num" w:pos="720"/>
        </w:tabs>
        <w:ind w:left="720" w:hanging="360"/>
      </w:pPr>
      <w:rPr>
        <w:rFonts w:ascii="Arial" w:hAnsi="Arial" w:hint="default"/>
      </w:rPr>
    </w:lvl>
    <w:lvl w:ilvl="1" w:tplc="FC3E8D50" w:tentative="1">
      <w:start w:val="1"/>
      <w:numFmt w:val="bullet"/>
      <w:lvlText w:val="•"/>
      <w:lvlJc w:val="left"/>
      <w:pPr>
        <w:tabs>
          <w:tab w:val="num" w:pos="1440"/>
        </w:tabs>
        <w:ind w:left="1440" w:hanging="360"/>
      </w:pPr>
      <w:rPr>
        <w:rFonts w:ascii="Arial" w:hAnsi="Arial" w:hint="default"/>
      </w:rPr>
    </w:lvl>
    <w:lvl w:ilvl="2" w:tplc="C0007352" w:tentative="1">
      <w:start w:val="1"/>
      <w:numFmt w:val="bullet"/>
      <w:lvlText w:val="•"/>
      <w:lvlJc w:val="left"/>
      <w:pPr>
        <w:tabs>
          <w:tab w:val="num" w:pos="2160"/>
        </w:tabs>
        <w:ind w:left="2160" w:hanging="360"/>
      </w:pPr>
      <w:rPr>
        <w:rFonts w:ascii="Arial" w:hAnsi="Arial" w:hint="default"/>
      </w:rPr>
    </w:lvl>
    <w:lvl w:ilvl="3" w:tplc="9E5CB38E" w:tentative="1">
      <w:start w:val="1"/>
      <w:numFmt w:val="bullet"/>
      <w:lvlText w:val="•"/>
      <w:lvlJc w:val="left"/>
      <w:pPr>
        <w:tabs>
          <w:tab w:val="num" w:pos="2880"/>
        </w:tabs>
        <w:ind w:left="2880" w:hanging="360"/>
      </w:pPr>
      <w:rPr>
        <w:rFonts w:ascii="Arial" w:hAnsi="Arial" w:hint="default"/>
      </w:rPr>
    </w:lvl>
    <w:lvl w:ilvl="4" w:tplc="ED50B706" w:tentative="1">
      <w:start w:val="1"/>
      <w:numFmt w:val="bullet"/>
      <w:lvlText w:val="•"/>
      <w:lvlJc w:val="left"/>
      <w:pPr>
        <w:tabs>
          <w:tab w:val="num" w:pos="3600"/>
        </w:tabs>
        <w:ind w:left="3600" w:hanging="360"/>
      </w:pPr>
      <w:rPr>
        <w:rFonts w:ascii="Arial" w:hAnsi="Arial" w:hint="default"/>
      </w:rPr>
    </w:lvl>
    <w:lvl w:ilvl="5" w:tplc="F1C6E512" w:tentative="1">
      <w:start w:val="1"/>
      <w:numFmt w:val="bullet"/>
      <w:lvlText w:val="•"/>
      <w:lvlJc w:val="left"/>
      <w:pPr>
        <w:tabs>
          <w:tab w:val="num" w:pos="4320"/>
        </w:tabs>
        <w:ind w:left="4320" w:hanging="360"/>
      </w:pPr>
      <w:rPr>
        <w:rFonts w:ascii="Arial" w:hAnsi="Arial" w:hint="default"/>
      </w:rPr>
    </w:lvl>
    <w:lvl w:ilvl="6" w:tplc="A02C4638" w:tentative="1">
      <w:start w:val="1"/>
      <w:numFmt w:val="bullet"/>
      <w:lvlText w:val="•"/>
      <w:lvlJc w:val="left"/>
      <w:pPr>
        <w:tabs>
          <w:tab w:val="num" w:pos="5040"/>
        </w:tabs>
        <w:ind w:left="5040" w:hanging="360"/>
      </w:pPr>
      <w:rPr>
        <w:rFonts w:ascii="Arial" w:hAnsi="Arial" w:hint="default"/>
      </w:rPr>
    </w:lvl>
    <w:lvl w:ilvl="7" w:tplc="2E20F604" w:tentative="1">
      <w:start w:val="1"/>
      <w:numFmt w:val="bullet"/>
      <w:lvlText w:val="•"/>
      <w:lvlJc w:val="left"/>
      <w:pPr>
        <w:tabs>
          <w:tab w:val="num" w:pos="5760"/>
        </w:tabs>
        <w:ind w:left="5760" w:hanging="360"/>
      </w:pPr>
      <w:rPr>
        <w:rFonts w:ascii="Arial" w:hAnsi="Arial" w:hint="default"/>
      </w:rPr>
    </w:lvl>
    <w:lvl w:ilvl="8" w:tplc="95FA0008" w:tentative="1">
      <w:start w:val="1"/>
      <w:numFmt w:val="bullet"/>
      <w:lvlText w:val="•"/>
      <w:lvlJc w:val="left"/>
      <w:pPr>
        <w:tabs>
          <w:tab w:val="num" w:pos="6480"/>
        </w:tabs>
        <w:ind w:left="6480" w:hanging="360"/>
      </w:pPr>
      <w:rPr>
        <w:rFonts w:ascii="Arial" w:hAnsi="Arial" w:hint="default"/>
      </w:rPr>
    </w:lvl>
  </w:abstractNum>
  <w:num w:numId="1" w16cid:durableId="353701064">
    <w:abstractNumId w:val="1"/>
  </w:num>
  <w:num w:numId="2" w16cid:durableId="132144107">
    <w:abstractNumId w:val="0"/>
  </w:num>
  <w:num w:numId="3" w16cid:durableId="1014190509">
    <w:abstractNumId w:val="3"/>
  </w:num>
  <w:num w:numId="4" w16cid:durableId="161686510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198"/>
    <w:rsid w:val="00026974"/>
    <w:rsid w:val="00027CD9"/>
    <w:rsid w:val="00070BF5"/>
    <w:rsid w:val="00072D36"/>
    <w:rsid w:val="00091BD1"/>
    <w:rsid w:val="000B146E"/>
    <w:rsid w:val="000B6760"/>
    <w:rsid w:val="000D28AD"/>
    <w:rsid w:val="00101984"/>
    <w:rsid w:val="00102C22"/>
    <w:rsid w:val="00134511"/>
    <w:rsid w:val="0016792F"/>
    <w:rsid w:val="001735C5"/>
    <w:rsid w:val="001C11CA"/>
    <w:rsid w:val="00211FF1"/>
    <w:rsid w:val="002B5A73"/>
    <w:rsid w:val="002F6AAA"/>
    <w:rsid w:val="003063FB"/>
    <w:rsid w:val="003425AA"/>
    <w:rsid w:val="00391B6F"/>
    <w:rsid w:val="00394364"/>
    <w:rsid w:val="003A3CD8"/>
    <w:rsid w:val="00400F24"/>
    <w:rsid w:val="00443D0D"/>
    <w:rsid w:val="004679A8"/>
    <w:rsid w:val="004C1339"/>
    <w:rsid w:val="004E1C7D"/>
    <w:rsid w:val="00513F8D"/>
    <w:rsid w:val="005161D7"/>
    <w:rsid w:val="005244B3"/>
    <w:rsid w:val="005D47D3"/>
    <w:rsid w:val="005D7F34"/>
    <w:rsid w:val="005E2302"/>
    <w:rsid w:val="00614544"/>
    <w:rsid w:val="00621088"/>
    <w:rsid w:val="00622A91"/>
    <w:rsid w:val="00673CB0"/>
    <w:rsid w:val="00691E67"/>
    <w:rsid w:val="006D3D1A"/>
    <w:rsid w:val="006F6209"/>
    <w:rsid w:val="007C7772"/>
    <w:rsid w:val="007D197D"/>
    <w:rsid w:val="008B4FB5"/>
    <w:rsid w:val="008C3C5C"/>
    <w:rsid w:val="008F6EEC"/>
    <w:rsid w:val="009141E2"/>
    <w:rsid w:val="00921DA1"/>
    <w:rsid w:val="00937619"/>
    <w:rsid w:val="009543A2"/>
    <w:rsid w:val="009C79CF"/>
    <w:rsid w:val="009E35E5"/>
    <w:rsid w:val="009F4F06"/>
    <w:rsid w:val="00A45A23"/>
    <w:rsid w:val="00A80EBC"/>
    <w:rsid w:val="00AC1EA1"/>
    <w:rsid w:val="00AE4339"/>
    <w:rsid w:val="00B104F6"/>
    <w:rsid w:val="00B26043"/>
    <w:rsid w:val="00B91830"/>
    <w:rsid w:val="00B9319B"/>
    <w:rsid w:val="00BD0FE5"/>
    <w:rsid w:val="00C21392"/>
    <w:rsid w:val="00C67843"/>
    <w:rsid w:val="00C71A17"/>
    <w:rsid w:val="00C96054"/>
    <w:rsid w:val="00D03B18"/>
    <w:rsid w:val="00D27307"/>
    <w:rsid w:val="00D33FE5"/>
    <w:rsid w:val="00D51198"/>
    <w:rsid w:val="00D65689"/>
    <w:rsid w:val="00D911B5"/>
    <w:rsid w:val="00DB1CCF"/>
    <w:rsid w:val="00E636B3"/>
    <w:rsid w:val="00E7194D"/>
    <w:rsid w:val="00EA3452"/>
    <w:rsid w:val="00EB559A"/>
    <w:rsid w:val="00F22FFD"/>
    <w:rsid w:val="00F414D9"/>
    <w:rsid w:val="00FA1850"/>
    <w:rsid w:val="00FD54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361AD0"/>
  <w15:chartTrackingRefBased/>
  <w15:docId w15:val="{555E7453-5583-4B94-A41D-E8D3BE9AC5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5119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D5119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D5119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D5119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5119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511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511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511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511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119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D5119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D5119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D5119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5119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511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511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511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51198"/>
    <w:rPr>
      <w:rFonts w:eastAsiaTheme="majorEastAsia" w:cstheme="majorBidi"/>
      <w:color w:val="272727" w:themeColor="text1" w:themeTint="D8"/>
    </w:rPr>
  </w:style>
  <w:style w:type="paragraph" w:styleId="Title">
    <w:name w:val="Title"/>
    <w:basedOn w:val="Normal"/>
    <w:next w:val="Normal"/>
    <w:link w:val="TitleChar"/>
    <w:uiPriority w:val="10"/>
    <w:qFormat/>
    <w:rsid w:val="00D511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511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511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511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51198"/>
    <w:pPr>
      <w:spacing w:before="160"/>
      <w:jc w:val="center"/>
    </w:pPr>
    <w:rPr>
      <w:i/>
      <w:iCs/>
      <w:color w:val="404040" w:themeColor="text1" w:themeTint="BF"/>
    </w:rPr>
  </w:style>
  <w:style w:type="character" w:customStyle="1" w:styleId="QuoteChar">
    <w:name w:val="Quote Char"/>
    <w:basedOn w:val="DefaultParagraphFont"/>
    <w:link w:val="Quote"/>
    <w:uiPriority w:val="29"/>
    <w:rsid w:val="00D51198"/>
    <w:rPr>
      <w:i/>
      <w:iCs/>
      <w:color w:val="404040" w:themeColor="text1" w:themeTint="BF"/>
    </w:rPr>
  </w:style>
  <w:style w:type="paragraph" w:styleId="ListParagraph">
    <w:name w:val="List Paragraph"/>
    <w:basedOn w:val="Normal"/>
    <w:uiPriority w:val="34"/>
    <w:qFormat/>
    <w:rsid w:val="00D51198"/>
    <w:pPr>
      <w:ind w:left="720"/>
      <w:contextualSpacing/>
    </w:pPr>
  </w:style>
  <w:style w:type="character" w:styleId="IntenseEmphasis">
    <w:name w:val="Intense Emphasis"/>
    <w:basedOn w:val="DefaultParagraphFont"/>
    <w:uiPriority w:val="21"/>
    <w:qFormat/>
    <w:rsid w:val="00D51198"/>
    <w:rPr>
      <w:i/>
      <w:iCs/>
      <w:color w:val="0F4761" w:themeColor="accent1" w:themeShade="BF"/>
    </w:rPr>
  </w:style>
  <w:style w:type="paragraph" w:styleId="IntenseQuote">
    <w:name w:val="Intense Quote"/>
    <w:basedOn w:val="Normal"/>
    <w:next w:val="Normal"/>
    <w:link w:val="IntenseQuoteChar"/>
    <w:uiPriority w:val="30"/>
    <w:qFormat/>
    <w:rsid w:val="00D5119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51198"/>
    <w:rPr>
      <w:i/>
      <w:iCs/>
      <w:color w:val="0F4761" w:themeColor="accent1" w:themeShade="BF"/>
    </w:rPr>
  </w:style>
  <w:style w:type="character" w:styleId="IntenseReference">
    <w:name w:val="Intense Reference"/>
    <w:basedOn w:val="DefaultParagraphFont"/>
    <w:uiPriority w:val="32"/>
    <w:qFormat/>
    <w:rsid w:val="00D51198"/>
    <w:rPr>
      <w:b/>
      <w:bCs/>
      <w:smallCaps/>
      <w:color w:val="0F4761" w:themeColor="accent1" w:themeShade="BF"/>
      <w:spacing w:val="5"/>
    </w:rPr>
  </w:style>
  <w:style w:type="paragraph" w:styleId="NoSpacing">
    <w:name w:val="No Spacing"/>
    <w:uiPriority w:val="1"/>
    <w:qFormat/>
    <w:rsid w:val="00400F24"/>
    <w:pPr>
      <w:spacing w:after="0" w:line="240" w:lineRule="auto"/>
    </w:pPr>
  </w:style>
  <w:style w:type="paragraph" w:styleId="TOCHeading">
    <w:name w:val="TOC Heading"/>
    <w:basedOn w:val="Heading1"/>
    <w:next w:val="Normal"/>
    <w:uiPriority w:val="39"/>
    <w:unhideWhenUsed/>
    <w:qFormat/>
    <w:rsid w:val="00134511"/>
    <w:pPr>
      <w:spacing w:before="240" w:after="0"/>
      <w:outlineLvl w:val="9"/>
    </w:pPr>
    <w:rPr>
      <w:kern w:val="0"/>
      <w:sz w:val="32"/>
      <w:szCs w:val="32"/>
      <w14:ligatures w14:val="none"/>
    </w:rPr>
  </w:style>
  <w:style w:type="paragraph" w:styleId="TOC2">
    <w:name w:val="toc 2"/>
    <w:basedOn w:val="Normal"/>
    <w:next w:val="Normal"/>
    <w:autoRedefine/>
    <w:uiPriority w:val="39"/>
    <w:unhideWhenUsed/>
    <w:rsid w:val="00134511"/>
    <w:pPr>
      <w:spacing w:after="100"/>
      <w:ind w:left="220"/>
    </w:pPr>
  </w:style>
  <w:style w:type="paragraph" w:styleId="TOC3">
    <w:name w:val="toc 3"/>
    <w:basedOn w:val="Normal"/>
    <w:next w:val="Normal"/>
    <w:autoRedefine/>
    <w:uiPriority w:val="39"/>
    <w:unhideWhenUsed/>
    <w:rsid w:val="00134511"/>
    <w:pPr>
      <w:spacing w:after="100"/>
      <w:ind w:left="440"/>
    </w:pPr>
  </w:style>
  <w:style w:type="character" w:styleId="Hyperlink">
    <w:name w:val="Hyperlink"/>
    <w:basedOn w:val="DefaultParagraphFont"/>
    <w:uiPriority w:val="99"/>
    <w:unhideWhenUsed/>
    <w:rsid w:val="00134511"/>
    <w:rPr>
      <w:color w:val="467886" w:themeColor="hyperlink"/>
      <w:u w:val="single"/>
    </w:rPr>
  </w:style>
  <w:style w:type="character" w:styleId="Strong">
    <w:name w:val="Strong"/>
    <w:basedOn w:val="DefaultParagraphFont"/>
    <w:uiPriority w:val="22"/>
    <w:qFormat/>
    <w:rsid w:val="00D33F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860838">
      <w:bodyDiv w:val="1"/>
      <w:marLeft w:val="0"/>
      <w:marRight w:val="0"/>
      <w:marTop w:val="0"/>
      <w:marBottom w:val="0"/>
      <w:divBdr>
        <w:top w:val="none" w:sz="0" w:space="0" w:color="auto"/>
        <w:left w:val="none" w:sz="0" w:space="0" w:color="auto"/>
        <w:bottom w:val="none" w:sz="0" w:space="0" w:color="auto"/>
        <w:right w:val="none" w:sz="0" w:space="0" w:color="auto"/>
      </w:divBdr>
    </w:div>
    <w:div w:id="48460186">
      <w:bodyDiv w:val="1"/>
      <w:marLeft w:val="0"/>
      <w:marRight w:val="0"/>
      <w:marTop w:val="0"/>
      <w:marBottom w:val="0"/>
      <w:divBdr>
        <w:top w:val="none" w:sz="0" w:space="0" w:color="auto"/>
        <w:left w:val="none" w:sz="0" w:space="0" w:color="auto"/>
        <w:bottom w:val="none" w:sz="0" w:space="0" w:color="auto"/>
        <w:right w:val="none" w:sz="0" w:space="0" w:color="auto"/>
      </w:divBdr>
    </w:div>
    <w:div w:id="106582276">
      <w:bodyDiv w:val="1"/>
      <w:marLeft w:val="0"/>
      <w:marRight w:val="0"/>
      <w:marTop w:val="0"/>
      <w:marBottom w:val="0"/>
      <w:divBdr>
        <w:top w:val="none" w:sz="0" w:space="0" w:color="auto"/>
        <w:left w:val="none" w:sz="0" w:space="0" w:color="auto"/>
        <w:bottom w:val="none" w:sz="0" w:space="0" w:color="auto"/>
        <w:right w:val="none" w:sz="0" w:space="0" w:color="auto"/>
      </w:divBdr>
    </w:div>
    <w:div w:id="224073952">
      <w:bodyDiv w:val="1"/>
      <w:marLeft w:val="0"/>
      <w:marRight w:val="0"/>
      <w:marTop w:val="0"/>
      <w:marBottom w:val="0"/>
      <w:divBdr>
        <w:top w:val="none" w:sz="0" w:space="0" w:color="auto"/>
        <w:left w:val="none" w:sz="0" w:space="0" w:color="auto"/>
        <w:bottom w:val="none" w:sz="0" w:space="0" w:color="auto"/>
        <w:right w:val="none" w:sz="0" w:space="0" w:color="auto"/>
      </w:divBdr>
    </w:div>
    <w:div w:id="234703110">
      <w:bodyDiv w:val="1"/>
      <w:marLeft w:val="0"/>
      <w:marRight w:val="0"/>
      <w:marTop w:val="0"/>
      <w:marBottom w:val="0"/>
      <w:divBdr>
        <w:top w:val="none" w:sz="0" w:space="0" w:color="auto"/>
        <w:left w:val="none" w:sz="0" w:space="0" w:color="auto"/>
        <w:bottom w:val="none" w:sz="0" w:space="0" w:color="auto"/>
        <w:right w:val="none" w:sz="0" w:space="0" w:color="auto"/>
      </w:divBdr>
    </w:div>
    <w:div w:id="252933063">
      <w:bodyDiv w:val="1"/>
      <w:marLeft w:val="0"/>
      <w:marRight w:val="0"/>
      <w:marTop w:val="0"/>
      <w:marBottom w:val="0"/>
      <w:divBdr>
        <w:top w:val="none" w:sz="0" w:space="0" w:color="auto"/>
        <w:left w:val="none" w:sz="0" w:space="0" w:color="auto"/>
        <w:bottom w:val="none" w:sz="0" w:space="0" w:color="auto"/>
        <w:right w:val="none" w:sz="0" w:space="0" w:color="auto"/>
      </w:divBdr>
    </w:div>
    <w:div w:id="273176895">
      <w:bodyDiv w:val="1"/>
      <w:marLeft w:val="0"/>
      <w:marRight w:val="0"/>
      <w:marTop w:val="0"/>
      <w:marBottom w:val="0"/>
      <w:divBdr>
        <w:top w:val="none" w:sz="0" w:space="0" w:color="auto"/>
        <w:left w:val="none" w:sz="0" w:space="0" w:color="auto"/>
        <w:bottom w:val="none" w:sz="0" w:space="0" w:color="auto"/>
        <w:right w:val="none" w:sz="0" w:space="0" w:color="auto"/>
      </w:divBdr>
    </w:div>
    <w:div w:id="408425306">
      <w:bodyDiv w:val="1"/>
      <w:marLeft w:val="0"/>
      <w:marRight w:val="0"/>
      <w:marTop w:val="0"/>
      <w:marBottom w:val="0"/>
      <w:divBdr>
        <w:top w:val="none" w:sz="0" w:space="0" w:color="auto"/>
        <w:left w:val="none" w:sz="0" w:space="0" w:color="auto"/>
        <w:bottom w:val="none" w:sz="0" w:space="0" w:color="auto"/>
        <w:right w:val="none" w:sz="0" w:space="0" w:color="auto"/>
      </w:divBdr>
    </w:div>
    <w:div w:id="500195076">
      <w:bodyDiv w:val="1"/>
      <w:marLeft w:val="0"/>
      <w:marRight w:val="0"/>
      <w:marTop w:val="0"/>
      <w:marBottom w:val="0"/>
      <w:divBdr>
        <w:top w:val="none" w:sz="0" w:space="0" w:color="auto"/>
        <w:left w:val="none" w:sz="0" w:space="0" w:color="auto"/>
        <w:bottom w:val="none" w:sz="0" w:space="0" w:color="auto"/>
        <w:right w:val="none" w:sz="0" w:space="0" w:color="auto"/>
      </w:divBdr>
      <w:divsChild>
        <w:div w:id="595791581">
          <w:marLeft w:val="446"/>
          <w:marRight w:val="0"/>
          <w:marTop w:val="0"/>
          <w:marBottom w:val="390"/>
          <w:divBdr>
            <w:top w:val="none" w:sz="0" w:space="0" w:color="auto"/>
            <w:left w:val="none" w:sz="0" w:space="0" w:color="auto"/>
            <w:bottom w:val="none" w:sz="0" w:space="0" w:color="auto"/>
            <w:right w:val="none" w:sz="0" w:space="0" w:color="auto"/>
          </w:divBdr>
        </w:div>
        <w:div w:id="1034307840">
          <w:marLeft w:val="1166"/>
          <w:marRight w:val="0"/>
          <w:marTop w:val="0"/>
          <w:marBottom w:val="0"/>
          <w:divBdr>
            <w:top w:val="none" w:sz="0" w:space="0" w:color="auto"/>
            <w:left w:val="none" w:sz="0" w:space="0" w:color="auto"/>
            <w:bottom w:val="none" w:sz="0" w:space="0" w:color="auto"/>
            <w:right w:val="none" w:sz="0" w:space="0" w:color="auto"/>
          </w:divBdr>
        </w:div>
        <w:div w:id="1340741217">
          <w:marLeft w:val="1166"/>
          <w:marRight w:val="0"/>
          <w:marTop w:val="0"/>
          <w:marBottom w:val="390"/>
          <w:divBdr>
            <w:top w:val="none" w:sz="0" w:space="0" w:color="auto"/>
            <w:left w:val="none" w:sz="0" w:space="0" w:color="auto"/>
            <w:bottom w:val="none" w:sz="0" w:space="0" w:color="auto"/>
            <w:right w:val="none" w:sz="0" w:space="0" w:color="auto"/>
          </w:divBdr>
        </w:div>
        <w:div w:id="1637950956">
          <w:marLeft w:val="1166"/>
          <w:marRight w:val="0"/>
          <w:marTop w:val="0"/>
          <w:marBottom w:val="0"/>
          <w:divBdr>
            <w:top w:val="none" w:sz="0" w:space="0" w:color="auto"/>
            <w:left w:val="none" w:sz="0" w:space="0" w:color="auto"/>
            <w:bottom w:val="none" w:sz="0" w:space="0" w:color="auto"/>
            <w:right w:val="none" w:sz="0" w:space="0" w:color="auto"/>
          </w:divBdr>
        </w:div>
        <w:div w:id="1761832960">
          <w:marLeft w:val="446"/>
          <w:marRight w:val="0"/>
          <w:marTop w:val="0"/>
          <w:marBottom w:val="390"/>
          <w:divBdr>
            <w:top w:val="none" w:sz="0" w:space="0" w:color="auto"/>
            <w:left w:val="none" w:sz="0" w:space="0" w:color="auto"/>
            <w:bottom w:val="none" w:sz="0" w:space="0" w:color="auto"/>
            <w:right w:val="none" w:sz="0" w:space="0" w:color="auto"/>
          </w:divBdr>
        </w:div>
      </w:divsChild>
    </w:div>
    <w:div w:id="564293696">
      <w:bodyDiv w:val="1"/>
      <w:marLeft w:val="0"/>
      <w:marRight w:val="0"/>
      <w:marTop w:val="0"/>
      <w:marBottom w:val="0"/>
      <w:divBdr>
        <w:top w:val="none" w:sz="0" w:space="0" w:color="auto"/>
        <w:left w:val="none" w:sz="0" w:space="0" w:color="auto"/>
        <w:bottom w:val="none" w:sz="0" w:space="0" w:color="auto"/>
        <w:right w:val="none" w:sz="0" w:space="0" w:color="auto"/>
      </w:divBdr>
    </w:div>
    <w:div w:id="595477249">
      <w:bodyDiv w:val="1"/>
      <w:marLeft w:val="0"/>
      <w:marRight w:val="0"/>
      <w:marTop w:val="0"/>
      <w:marBottom w:val="0"/>
      <w:divBdr>
        <w:top w:val="none" w:sz="0" w:space="0" w:color="auto"/>
        <w:left w:val="none" w:sz="0" w:space="0" w:color="auto"/>
        <w:bottom w:val="none" w:sz="0" w:space="0" w:color="auto"/>
        <w:right w:val="none" w:sz="0" w:space="0" w:color="auto"/>
      </w:divBdr>
    </w:div>
    <w:div w:id="727999485">
      <w:bodyDiv w:val="1"/>
      <w:marLeft w:val="0"/>
      <w:marRight w:val="0"/>
      <w:marTop w:val="0"/>
      <w:marBottom w:val="0"/>
      <w:divBdr>
        <w:top w:val="none" w:sz="0" w:space="0" w:color="auto"/>
        <w:left w:val="none" w:sz="0" w:space="0" w:color="auto"/>
        <w:bottom w:val="none" w:sz="0" w:space="0" w:color="auto"/>
        <w:right w:val="none" w:sz="0" w:space="0" w:color="auto"/>
      </w:divBdr>
    </w:div>
    <w:div w:id="808400139">
      <w:bodyDiv w:val="1"/>
      <w:marLeft w:val="0"/>
      <w:marRight w:val="0"/>
      <w:marTop w:val="0"/>
      <w:marBottom w:val="0"/>
      <w:divBdr>
        <w:top w:val="none" w:sz="0" w:space="0" w:color="auto"/>
        <w:left w:val="none" w:sz="0" w:space="0" w:color="auto"/>
        <w:bottom w:val="none" w:sz="0" w:space="0" w:color="auto"/>
        <w:right w:val="none" w:sz="0" w:space="0" w:color="auto"/>
      </w:divBdr>
      <w:divsChild>
        <w:div w:id="1741906368">
          <w:marLeft w:val="446"/>
          <w:marRight w:val="0"/>
          <w:marTop w:val="0"/>
          <w:marBottom w:val="0"/>
          <w:divBdr>
            <w:top w:val="none" w:sz="0" w:space="0" w:color="auto"/>
            <w:left w:val="none" w:sz="0" w:space="0" w:color="auto"/>
            <w:bottom w:val="none" w:sz="0" w:space="0" w:color="auto"/>
            <w:right w:val="none" w:sz="0" w:space="0" w:color="auto"/>
          </w:divBdr>
        </w:div>
      </w:divsChild>
    </w:div>
    <w:div w:id="826628881">
      <w:bodyDiv w:val="1"/>
      <w:marLeft w:val="0"/>
      <w:marRight w:val="0"/>
      <w:marTop w:val="0"/>
      <w:marBottom w:val="0"/>
      <w:divBdr>
        <w:top w:val="none" w:sz="0" w:space="0" w:color="auto"/>
        <w:left w:val="none" w:sz="0" w:space="0" w:color="auto"/>
        <w:bottom w:val="none" w:sz="0" w:space="0" w:color="auto"/>
        <w:right w:val="none" w:sz="0" w:space="0" w:color="auto"/>
      </w:divBdr>
    </w:div>
    <w:div w:id="1001591920">
      <w:bodyDiv w:val="1"/>
      <w:marLeft w:val="0"/>
      <w:marRight w:val="0"/>
      <w:marTop w:val="0"/>
      <w:marBottom w:val="0"/>
      <w:divBdr>
        <w:top w:val="none" w:sz="0" w:space="0" w:color="auto"/>
        <w:left w:val="none" w:sz="0" w:space="0" w:color="auto"/>
        <w:bottom w:val="none" w:sz="0" w:space="0" w:color="auto"/>
        <w:right w:val="none" w:sz="0" w:space="0" w:color="auto"/>
      </w:divBdr>
    </w:div>
    <w:div w:id="1014380443">
      <w:bodyDiv w:val="1"/>
      <w:marLeft w:val="0"/>
      <w:marRight w:val="0"/>
      <w:marTop w:val="0"/>
      <w:marBottom w:val="0"/>
      <w:divBdr>
        <w:top w:val="none" w:sz="0" w:space="0" w:color="auto"/>
        <w:left w:val="none" w:sz="0" w:space="0" w:color="auto"/>
        <w:bottom w:val="none" w:sz="0" w:space="0" w:color="auto"/>
        <w:right w:val="none" w:sz="0" w:space="0" w:color="auto"/>
      </w:divBdr>
      <w:divsChild>
        <w:div w:id="267352513">
          <w:marLeft w:val="1166"/>
          <w:marRight w:val="0"/>
          <w:marTop w:val="100"/>
          <w:marBottom w:val="0"/>
          <w:divBdr>
            <w:top w:val="none" w:sz="0" w:space="0" w:color="auto"/>
            <w:left w:val="none" w:sz="0" w:space="0" w:color="auto"/>
            <w:bottom w:val="none" w:sz="0" w:space="0" w:color="auto"/>
            <w:right w:val="none" w:sz="0" w:space="0" w:color="auto"/>
          </w:divBdr>
        </w:div>
        <w:div w:id="491215180">
          <w:marLeft w:val="446"/>
          <w:marRight w:val="0"/>
          <w:marTop w:val="200"/>
          <w:marBottom w:val="0"/>
          <w:divBdr>
            <w:top w:val="none" w:sz="0" w:space="0" w:color="auto"/>
            <w:left w:val="none" w:sz="0" w:space="0" w:color="auto"/>
            <w:bottom w:val="none" w:sz="0" w:space="0" w:color="auto"/>
            <w:right w:val="none" w:sz="0" w:space="0" w:color="auto"/>
          </w:divBdr>
        </w:div>
        <w:div w:id="1017542017">
          <w:marLeft w:val="446"/>
          <w:marRight w:val="0"/>
          <w:marTop w:val="200"/>
          <w:marBottom w:val="0"/>
          <w:divBdr>
            <w:top w:val="none" w:sz="0" w:space="0" w:color="auto"/>
            <w:left w:val="none" w:sz="0" w:space="0" w:color="auto"/>
            <w:bottom w:val="none" w:sz="0" w:space="0" w:color="auto"/>
            <w:right w:val="none" w:sz="0" w:space="0" w:color="auto"/>
          </w:divBdr>
        </w:div>
        <w:div w:id="1929146661">
          <w:marLeft w:val="1166"/>
          <w:marRight w:val="0"/>
          <w:marTop w:val="100"/>
          <w:marBottom w:val="0"/>
          <w:divBdr>
            <w:top w:val="none" w:sz="0" w:space="0" w:color="auto"/>
            <w:left w:val="none" w:sz="0" w:space="0" w:color="auto"/>
            <w:bottom w:val="none" w:sz="0" w:space="0" w:color="auto"/>
            <w:right w:val="none" w:sz="0" w:space="0" w:color="auto"/>
          </w:divBdr>
        </w:div>
      </w:divsChild>
    </w:div>
    <w:div w:id="1428842823">
      <w:bodyDiv w:val="1"/>
      <w:marLeft w:val="0"/>
      <w:marRight w:val="0"/>
      <w:marTop w:val="0"/>
      <w:marBottom w:val="0"/>
      <w:divBdr>
        <w:top w:val="none" w:sz="0" w:space="0" w:color="auto"/>
        <w:left w:val="none" w:sz="0" w:space="0" w:color="auto"/>
        <w:bottom w:val="none" w:sz="0" w:space="0" w:color="auto"/>
        <w:right w:val="none" w:sz="0" w:space="0" w:color="auto"/>
      </w:divBdr>
    </w:div>
    <w:div w:id="1438676301">
      <w:bodyDiv w:val="1"/>
      <w:marLeft w:val="0"/>
      <w:marRight w:val="0"/>
      <w:marTop w:val="0"/>
      <w:marBottom w:val="0"/>
      <w:divBdr>
        <w:top w:val="none" w:sz="0" w:space="0" w:color="auto"/>
        <w:left w:val="none" w:sz="0" w:space="0" w:color="auto"/>
        <w:bottom w:val="none" w:sz="0" w:space="0" w:color="auto"/>
        <w:right w:val="none" w:sz="0" w:space="0" w:color="auto"/>
      </w:divBdr>
    </w:div>
    <w:div w:id="1457529288">
      <w:bodyDiv w:val="1"/>
      <w:marLeft w:val="0"/>
      <w:marRight w:val="0"/>
      <w:marTop w:val="0"/>
      <w:marBottom w:val="0"/>
      <w:divBdr>
        <w:top w:val="none" w:sz="0" w:space="0" w:color="auto"/>
        <w:left w:val="none" w:sz="0" w:space="0" w:color="auto"/>
        <w:bottom w:val="none" w:sz="0" w:space="0" w:color="auto"/>
        <w:right w:val="none" w:sz="0" w:space="0" w:color="auto"/>
      </w:divBdr>
    </w:div>
    <w:div w:id="1459103279">
      <w:bodyDiv w:val="1"/>
      <w:marLeft w:val="0"/>
      <w:marRight w:val="0"/>
      <w:marTop w:val="0"/>
      <w:marBottom w:val="0"/>
      <w:divBdr>
        <w:top w:val="none" w:sz="0" w:space="0" w:color="auto"/>
        <w:left w:val="none" w:sz="0" w:space="0" w:color="auto"/>
        <w:bottom w:val="none" w:sz="0" w:space="0" w:color="auto"/>
        <w:right w:val="none" w:sz="0" w:space="0" w:color="auto"/>
      </w:divBdr>
    </w:div>
    <w:div w:id="1459951815">
      <w:bodyDiv w:val="1"/>
      <w:marLeft w:val="0"/>
      <w:marRight w:val="0"/>
      <w:marTop w:val="0"/>
      <w:marBottom w:val="0"/>
      <w:divBdr>
        <w:top w:val="none" w:sz="0" w:space="0" w:color="auto"/>
        <w:left w:val="none" w:sz="0" w:space="0" w:color="auto"/>
        <w:bottom w:val="none" w:sz="0" w:space="0" w:color="auto"/>
        <w:right w:val="none" w:sz="0" w:space="0" w:color="auto"/>
      </w:divBdr>
    </w:div>
    <w:div w:id="1485776029">
      <w:bodyDiv w:val="1"/>
      <w:marLeft w:val="0"/>
      <w:marRight w:val="0"/>
      <w:marTop w:val="0"/>
      <w:marBottom w:val="0"/>
      <w:divBdr>
        <w:top w:val="none" w:sz="0" w:space="0" w:color="auto"/>
        <w:left w:val="none" w:sz="0" w:space="0" w:color="auto"/>
        <w:bottom w:val="none" w:sz="0" w:space="0" w:color="auto"/>
        <w:right w:val="none" w:sz="0" w:space="0" w:color="auto"/>
      </w:divBdr>
    </w:div>
    <w:div w:id="1715230086">
      <w:bodyDiv w:val="1"/>
      <w:marLeft w:val="0"/>
      <w:marRight w:val="0"/>
      <w:marTop w:val="0"/>
      <w:marBottom w:val="0"/>
      <w:divBdr>
        <w:top w:val="none" w:sz="0" w:space="0" w:color="auto"/>
        <w:left w:val="none" w:sz="0" w:space="0" w:color="auto"/>
        <w:bottom w:val="none" w:sz="0" w:space="0" w:color="auto"/>
        <w:right w:val="none" w:sz="0" w:space="0" w:color="auto"/>
      </w:divBdr>
    </w:div>
    <w:div w:id="1980845808">
      <w:bodyDiv w:val="1"/>
      <w:marLeft w:val="0"/>
      <w:marRight w:val="0"/>
      <w:marTop w:val="0"/>
      <w:marBottom w:val="0"/>
      <w:divBdr>
        <w:top w:val="none" w:sz="0" w:space="0" w:color="auto"/>
        <w:left w:val="none" w:sz="0" w:space="0" w:color="auto"/>
        <w:bottom w:val="none" w:sz="0" w:space="0" w:color="auto"/>
        <w:right w:val="none" w:sz="0" w:space="0" w:color="auto"/>
      </w:divBdr>
    </w:div>
    <w:div w:id="2006547357">
      <w:bodyDiv w:val="1"/>
      <w:marLeft w:val="0"/>
      <w:marRight w:val="0"/>
      <w:marTop w:val="0"/>
      <w:marBottom w:val="0"/>
      <w:divBdr>
        <w:top w:val="none" w:sz="0" w:space="0" w:color="auto"/>
        <w:left w:val="none" w:sz="0" w:space="0" w:color="auto"/>
        <w:bottom w:val="none" w:sz="0" w:space="0" w:color="auto"/>
        <w:right w:val="none" w:sz="0" w:space="0" w:color="auto"/>
      </w:divBdr>
    </w:div>
    <w:div w:id="2043556392">
      <w:bodyDiv w:val="1"/>
      <w:marLeft w:val="0"/>
      <w:marRight w:val="0"/>
      <w:marTop w:val="0"/>
      <w:marBottom w:val="0"/>
      <w:divBdr>
        <w:top w:val="none" w:sz="0" w:space="0" w:color="auto"/>
        <w:left w:val="none" w:sz="0" w:space="0" w:color="auto"/>
        <w:bottom w:val="none" w:sz="0" w:space="0" w:color="auto"/>
        <w:right w:val="none" w:sz="0" w:space="0" w:color="auto"/>
      </w:divBdr>
    </w:div>
    <w:div w:id="2062898280">
      <w:bodyDiv w:val="1"/>
      <w:marLeft w:val="0"/>
      <w:marRight w:val="0"/>
      <w:marTop w:val="0"/>
      <w:marBottom w:val="0"/>
      <w:divBdr>
        <w:top w:val="none" w:sz="0" w:space="0" w:color="auto"/>
        <w:left w:val="none" w:sz="0" w:space="0" w:color="auto"/>
        <w:bottom w:val="none" w:sz="0" w:space="0" w:color="auto"/>
        <w:right w:val="none" w:sz="0" w:space="0" w:color="auto"/>
      </w:divBdr>
    </w:div>
    <w:div w:id="2139642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tyles" Target="style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1431AE-7857-45E6-AB7C-AA27261683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16</Pages>
  <Words>1777</Words>
  <Characters>10131</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Dallefeld</dc:creator>
  <cp:keywords/>
  <dc:description/>
  <cp:lastModifiedBy>Kim Dallefeld</cp:lastModifiedBy>
  <cp:revision>3</cp:revision>
  <dcterms:created xsi:type="dcterms:W3CDTF">2025-02-14T18:13:00Z</dcterms:created>
  <dcterms:modified xsi:type="dcterms:W3CDTF">2025-02-14T19:30:00Z</dcterms:modified>
</cp:coreProperties>
</file>